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099" w:rsidRPr="00A46C28" w:rsidRDefault="008F3099">
      <w:pPr>
        <w:spacing w:after="7"/>
        <w:jc w:val="center"/>
        <w:rPr>
          <w:b/>
          <w:sz w:val="32"/>
          <w:szCs w:val="32"/>
        </w:rPr>
      </w:pPr>
      <w:r w:rsidRPr="00A46C28">
        <w:rPr>
          <w:b/>
          <w:sz w:val="32"/>
          <w:szCs w:val="32"/>
        </w:rPr>
        <w:t>EK-1</w:t>
      </w:r>
    </w:p>
    <w:p w:rsidR="002F5788" w:rsidRPr="00A46C28" w:rsidRDefault="00491E41">
      <w:pPr>
        <w:spacing w:after="7"/>
        <w:jc w:val="center"/>
        <w:rPr>
          <w:b/>
          <w:sz w:val="32"/>
          <w:szCs w:val="32"/>
        </w:rPr>
      </w:pPr>
      <w:r w:rsidRPr="00A46C28">
        <w:rPr>
          <w:b/>
          <w:sz w:val="32"/>
          <w:szCs w:val="32"/>
        </w:rPr>
        <w:t xml:space="preserve">Macintosh </w:t>
      </w:r>
      <w:r w:rsidR="008F3099" w:rsidRPr="00A46C28">
        <w:rPr>
          <w:b/>
          <w:sz w:val="32"/>
          <w:szCs w:val="32"/>
        </w:rPr>
        <w:t>Tip Bilgisayar</w:t>
      </w:r>
    </w:p>
    <w:tbl>
      <w:tblPr>
        <w:tblStyle w:val="TableGrid"/>
        <w:tblW w:w="11057" w:type="dxa"/>
        <w:tblInd w:w="-1906" w:type="dxa"/>
        <w:tblCellMar>
          <w:top w:w="125" w:type="dxa"/>
          <w:left w:w="96" w:type="dxa"/>
          <w:right w:w="94" w:type="dxa"/>
        </w:tblCellMar>
        <w:tblLook w:val="04A0" w:firstRow="1" w:lastRow="0" w:firstColumn="1" w:lastColumn="0" w:noHBand="0" w:noVBand="1"/>
      </w:tblPr>
      <w:tblGrid>
        <w:gridCol w:w="1268"/>
        <w:gridCol w:w="9789"/>
      </w:tblGrid>
      <w:tr w:rsidR="002F5788">
        <w:trPr>
          <w:trHeight w:val="690"/>
        </w:trPr>
        <w:tc>
          <w:tcPr>
            <w:tcW w:w="1268" w:type="dxa"/>
            <w:tcBorders>
              <w:top w:val="single" w:sz="2" w:space="0" w:color="000000"/>
              <w:left w:val="single" w:sz="2" w:space="0" w:color="000000"/>
              <w:bottom w:val="single" w:sz="2" w:space="0" w:color="000000"/>
              <w:right w:val="single" w:sz="2" w:space="0" w:color="000000"/>
            </w:tcBorders>
          </w:tcPr>
          <w:p w:rsidR="002F5788" w:rsidRDefault="00B05BFE">
            <w:pPr>
              <w:ind w:left="356" w:hanging="178"/>
            </w:pPr>
            <w:r>
              <w:rPr>
                <w:sz w:val="24"/>
              </w:rPr>
              <w:t>Madde Nu.</w:t>
            </w:r>
          </w:p>
        </w:tc>
        <w:tc>
          <w:tcPr>
            <w:tcW w:w="9789" w:type="dxa"/>
            <w:tcBorders>
              <w:top w:val="single" w:sz="2" w:space="0" w:color="000000"/>
              <w:left w:val="single" w:sz="2" w:space="0" w:color="000000"/>
              <w:bottom w:val="single" w:sz="2" w:space="0" w:color="000000"/>
              <w:right w:val="single" w:sz="2" w:space="0" w:color="000000"/>
            </w:tcBorders>
            <w:vAlign w:val="center"/>
          </w:tcPr>
          <w:p w:rsidR="002F5788" w:rsidRDefault="00B05BFE">
            <w:pPr>
              <w:ind w:right="19"/>
              <w:jc w:val="center"/>
            </w:pPr>
            <w:r>
              <w:rPr>
                <w:sz w:val="26"/>
              </w:rPr>
              <w:t>Teknik Şartname Konusu</w:t>
            </w:r>
          </w:p>
        </w:tc>
      </w:tr>
      <w:tr w:rsidR="002F5788" w:rsidTr="00A76417">
        <w:trPr>
          <w:trHeight w:val="6413"/>
        </w:trPr>
        <w:tc>
          <w:tcPr>
            <w:tcW w:w="1268" w:type="dxa"/>
            <w:tcBorders>
              <w:top w:val="single" w:sz="2" w:space="0" w:color="000000"/>
              <w:left w:val="single" w:sz="2" w:space="0" w:color="000000"/>
              <w:bottom w:val="single" w:sz="2" w:space="0" w:color="000000"/>
              <w:right w:val="single" w:sz="2" w:space="0" w:color="000000"/>
            </w:tcBorders>
            <w:vAlign w:val="center"/>
          </w:tcPr>
          <w:p w:rsidR="002F5788" w:rsidRDefault="0022186F">
            <w:pPr>
              <w:ind w:left="10"/>
            </w:pPr>
            <w:r>
              <w:rPr>
                <w:sz w:val="24"/>
              </w:rPr>
              <w:t>2.2.5</w:t>
            </w:r>
            <w:r w:rsidR="00B05BFE">
              <w:rPr>
                <w:sz w:val="24"/>
              </w:rPr>
              <w:t>.</w:t>
            </w:r>
          </w:p>
        </w:tc>
        <w:tc>
          <w:tcPr>
            <w:tcW w:w="9789" w:type="dxa"/>
            <w:tcBorders>
              <w:top w:val="single" w:sz="2" w:space="0" w:color="000000"/>
              <w:left w:val="single" w:sz="2" w:space="0" w:color="000000"/>
              <w:bottom w:val="single" w:sz="2" w:space="0" w:color="000000"/>
              <w:right w:val="single" w:sz="2" w:space="0" w:color="000000"/>
            </w:tcBorders>
          </w:tcPr>
          <w:p w:rsidR="002F5788" w:rsidRDefault="00B05BFE">
            <w:pPr>
              <w:spacing w:after="190"/>
              <w:ind w:left="5"/>
            </w:pPr>
            <w:r>
              <w:rPr>
                <w:sz w:val="24"/>
              </w:rPr>
              <w:t>Kalite sistem ve ürün kalite belgelerine ait hususlar</w:t>
            </w:r>
          </w:p>
          <w:p w:rsidR="002F5788" w:rsidRDefault="00B05BFE">
            <w:pPr>
              <w:numPr>
                <w:ilvl w:val="0"/>
                <w:numId w:val="1"/>
              </w:numPr>
              <w:spacing w:after="99" w:line="216" w:lineRule="auto"/>
              <w:ind w:right="14"/>
              <w:jc w:val="both"/>
            </w:pPr>
            <w:r>
              <w:rPr>
                <w:sz w:val="24"/>
              </w:rPr>
              <w:t xml:space="preserve">Teklif edilen masaüstü bilgisayarın kasası ve monitörü; en az </w:t>
            </w:r>
            <w:proofErr w:type="spellStart"/>
            <w:r>
              <w:rPr>
                <w:sz w:val="24"/>
              </w:rPr>
              <w:t>Energy</w:t>
            </w:r>
            <w:proofErr w:type="spellEnd"/>
            <w:r>
              <w:rPr>
                <w:sz w:val="24"/>
              </w:rPr>
              <w:t xml:space="preserve"> Star 6.0 (altı</w:t>
            </w:r>
            <w:r w:rsidR="00AE48F4">
              <w:rPr>
                <w:sz w:val="24"/>
              </w:rPr>
              <w:t xml:space="preserve"> </w:t>
            </w:r>
            <w:r>
              <w:rPr>
                <w:sz w:val="24"/>
              </w:rPr>
              <w:t>nokta</w:t>
            </w:r>
            <w:r w:rsidR="00AE48F4">
              <w:rPr>
                <w:sz w:val="24"/>
              </w:rPr>
              <w:t xml:space="preserve"> </w:t>
            </w:r>
            <w:r>
              <w:rPr>
                <w:sz w:val="24"/>
              </w:rPr>
              <w:t xml:space="preserve">sıfır) sertifikalı olacaktır. </w:t>
            </w:r>
            <w:proofErr w:type="spellStart"/>
            <w:r>
              <w:rPr>
                <w:sz w:val="24"/>
              </w:rPr>
              <w:t>Energystar</w:t>
            </w:r>
            <w:proofErr w:type="spellEnd"/>
            <w:r>
              <w:rPr>
                <w:sz w:val="24"/>
              </w:rPr>
              <w:t xml:space="preserve"> uyumluluğu </w:t>
            </w:r>
            <w:r>
              <w:rPr>
                <w:sz w:val="24"/>
                <w:u w:val="single" w:color="000000"/>
              </w:rPr>
              <w:t>www.enerqystar.gov</w:t>
            </w:r>
            <w:r>
              <w:rPr>
                <w:sz w:val="24"/>
              </w:rPr>
              <w:t xml:space="preserve"> veya </w:t>
            </w:r>
            <w:r>
              <w:rPr>
                <w:sz w:val="24"/>
                <w:u w:val="single" w:color="000000"/>
              </w:rPr>
              <w:t xml:space="preserve">www eu-enerqystar.org </w:t>
            </w:r>
            <w:r>
              <w:rPr>
                <w:sz w:val="24"/>
              </w:rPr>
              <w:t xml:space="preserve">adresinin birinde </w:t>
            </w:r>
            <w:r w:rsidR="00AE48F4">
              <w:rPr>
                <w:sz w:val="24"/>
              </w:rPr>
              <w:t>yayınlanmış</w:t>
            </w:r>
            <w:r>
              <w:rPr>
                <w:sz w:val="24"/>
              </w:rPr>
              <w:t xml:space="preserve"> ve bu sitelerin birinden alınacak çıktılar veya </w:t>
            </w:r>
            <w:proofErr w:type="spellStart"/>
            <w:r>
              <w:rPr>
                <w:sz w:val="24"/>
              </w:rPr>
              <w:t>Energystar</w:t>
            </w:r>
            <w:proofErr w:type="spellEnd"/>
            <w:r>
              <w:rPr>
                <w:sz w:val="24"/>
              </w:rPr>
              <w:t xml:space="preserve"> uyumluluğu olduğuna dair akredite bir kuruluştan alınmış test raporu istekli tarafından onaylanarak </w:t>
            </w:r>
            <w:r w:rsidR="001904D5" w:rsidRPr="00171D19">
              <w:t>yüklenici tarafından belgelendirilecektir.</w:t>
            </w:r>
          </w:p>
          <w:p w:rsidR="002F5788" w:rsidRDefault="00B05BFE">
            <w:pPr>
              <w:numPr>
                <w:ilvl w:val="0"/>
                <w:numId w:val="1"/>
              </w:numPr>
              <w:spacing w:after="240" w:line="216" w:lineRule="auto"/>
              <w:ind w:right="14"/>
              <w:jc w:val="both"/>
            </w:pPr>
            <w:r>
              <w:rPr>
                <w:sz w:val="24"/>
              </w:rPr>
              <w:t xml:space="preserve">Teklif edilen masaüstü bilgisayara ait kasa, ekran (monitör); bilgisayarın veya söz konusu ürünün üreticisi adına düzenlenmiş "CE” sertifikasyonuna sahip olacak ve buna ilişkin belgeler </w:t>
            </w:r>
            <w:r w:rsidR="001904D5" w:rsidRPr="00171D19">
              <w:t>yüklenici tarafından belgelendirilecektir.</w:t>
            </w:r>
          </w:p>
          <w:p w:rsidR="002F5788" w:rsidRDefault="00B05BFE" w:rsidP="00A76417">
            <w:pPr>
              <w:numPr>
                <w:ilvl w:val="0"/>
                <w:numId w:val="1"/>
              </w:numPr>
              <w:spacing w:after="242" w:line="216" w:lineRule="auto"/>
              <w:ind w:right="14"/>
              <w:jc w:val="both"/>
            </w:pPr>
            <w:r>
              <w:rPr>
                <w:sz w:val="24"/>
              </w:rPr>
              <w:t xml:space="preserve">Teklif edilen masaüstü bilgisayarın kasasının, Elektromanyetik Uyumluluk Yönetmeliği (EMC) (2004/30/EU) kapsamında, EN 55032:2015, EN 55024:2010, EN 61000-3-22006 veya EN 61000-3-2:2014 ve EN 61000-3-32013 veya EN 61000-3-3:2014 veya EN 61000-3-32015 standartlarına; EN 60950-1/A1 </w:t>
            </w:r>
            <w:proofErr w:type="gramStart"/>
            <w:r>
              <w:rPr>
                <w:sz w:val="24"/>
              </w:rPr>
              <w:t>1 :2009</w:t>
            </w:r>
            <w:proofErr w:type="gramEnd"/>
            <w:r>
              <w:rPr>
                <w:sz w:val="24"/>
              </w:rPr>
              <w:t xml:space="preserve"> veya EN 62368-1/9014 standardına uygun olduğunun belirlenmesi için yapılacak testlerin tamamı ISO/IEC 17025:2005 akreditasyonuna sahip bir kuruluştan alınmış olacak ve belgeler </w:t>
            </w:r>
            <w:r w:rsidR="001904D5" w:rsidRPr="00171D19">
              <w:t>yüklenici tarafından belgelendirilecektir.</w:t>
            </w:r>
            <w:r>
              <w:rPr>
                <w:sz w:val="24"/>
              </w:rPr>
              <w:t xml:space="preserve"> Ayrıca </w:t>
            </w:r>
            <w:proofErr w:type="spellStart"/>
            <w:r>
              <w:rPr>
                <w:sz w:val="24"/>
              </w:rPr>
              <w:t>Ekodizayn</w:t>
            </w:r>
            <w:proofErr w:type="spellEnd"/>
            <w:r>
              <w:rPr>
                <w:sz w:val="24"/>
              </w:rPr>
              <w:t xml:space="preserve"> Yönetmeliği (</w:t>
            </w:r>
            <w:proofErr w:type="spellStart"/>
            <w:r>
              <w:rPr>
                <w:sz w:val="24"/>
              </w:rPr>
              <w:t>EcoDesing</w:t>
            </w:r>
            <w:proofErr w:type="spellEnd"/>
            <w:r>
              <w:rPr>
                <w:sz w:val="24"/>
              </w:rPr>
              <w:t xml:space="preserve">) (2009/125/EC) kapsamında EN 50564:201 1 standardına veya EU </w:t>
            </w:r>
            <w:proofErr w:type="spellStart"/>
            <w:r>
              <w:rPr>
                <w:sz w:val="24"/>
              </w:rPr>
              <w:t>reguıation</w:t>
            </w:r>
            <w:proofErr w:type="spellEnd"/>
            <w:r>
              <w:rPr>
                <w:sz w:val="24"/>
              </w:rPr>
              <w:t xml:space="preserve"> (617/2013) kapsamında EN 62623:2013 standardına veya EN 62479:2010, EN ISO 7779 veya ISO 7779 standardına göre yapılan ölçüm değerleri </w:t>
            </w:r>
            <w:r w:rsidR="001904D5" w:rsidRPr="00171D19">
              <w:t>yüklenici tarafından belgelendirilecektir.</w:t>
            </w:r>
            <w:r>
              <w:rPr>
                <w:sz w:val="24"/>
              </w:rPr>
              <w:t xml:space="preserve"> Yukarıdaki standartlardan herhangi biri </w:t>
            </w:r>
            <w:r w:rsidR="001904D5">
              <w:rPr>
                <w:sz w:val="24"/>
              </w:rPr>
              <w:t>onay</w:t>
            </w:r>
            <w:r>
              <w:rPr>
                <w:sz w:val="24"/>
              </w:rPr>
              <w:t xml:space="preserve"> tarihinde güncelliği</w:t>
            </w:r>
            <w:r w:rsidR="001904D5">
              <w:rPr>
                <w:sz w:val="24"/>
              </w:rPr>
              <w:t>ni</w:t>
            </w:r>
            <w:r>
              <w:rPr>
                <w:sz w:val="24"/>
              </w:rPr>
              <w:t xml:space="preserve"> yitirmiş ise güncelliğini yitiren standart yerine aynı standardın devamı niteliğindeki yeni standa</w:t>
            </w:r>
            <w:r w:rsidR="001904D5">
              <w:rPr>
                <w:sz w:val="24"/>
              </w:rPr>
              <w:t>rt</w:t>
            </w:r>
            <w:r>
              <w:rPr>
                <w:sz w:val="24"/>
              </w:rPr>
              <w:t xml:space="preserve"> kullanılabilecektir.</w:t>
            </w:r>
          </w:p>
        </w:tc>
      </w:tr>
      <w:tr w:rsidR="002F5788">
        <w:trPr>
          <w:trHeight w:val="1051"/>
        </w:trPr>
        <w:tc>
          <w:tcPr>
            <w:tcW w:w="1268" w:type="dxa"/>
            <w:tcBorders>
              <w:top w:val="single" w:sz="2" w:space="0" w:color="000000"/>
              <w:left w:val="single" w:sz="2" w:space="0" w:color="000000"/>
              <w:bottom w:val="single" w:sz="2" w:space="0" w:color="000000"/>
              <w:right w:val="single" w:sz="2" w:space="0" w:color="000000"/>
            </w:tcBorders>
            <w:vAlign w:val="center"/>
          </w:tcPr>
          <w:p w:rsidR="002F5788" w:rsidRDefault="0022186F">
            <w:pPr>
              <w:ind w:left="38"/>
            </w:pPr>
            <w:r>
              <w:rPr>
                <w:sz w:val="24"/>
              </w:rPr>
              <w:t>2.2.6</w:t>
            </w:r>
            <w:r w:rsidR="00B05BFE">
              <w:rPr>
                <w:sz w:val="24"/>
              </w:rPr>
              <w:t>.</w:t>
            </w:r>
          </w:p>
        </w:tc>
        <w:tc>
          <w:tcPr>
            <w:tcW w:w="9789" w:type="dxa"/>
            <w:tcBorders>
              <w:top w:val="single" w:sz="2" w:space="0" w:color="000000"/>
              <w:left w:val="single" w:sz="2" w:space="0" w:color="000000"/>
              <w:bottom w:val="single" w:sz="2" w:space="0" w:color="000000"/>
              <w:right w:val="single" w:sz="2" w:space="0" w:color="000000"/>
            </w:tcBorders>
          </w:tcPr>
          <w:p w:rsidR="002F5788" w:rsidRDefault="00B05BFE">
            <w:pPr>
              <w:spacing w:after="41"/>
              <w:ind w:left="38"/>
            </w:pPr>
            <w:r>
              <w:rPr>
                <w:sz w:val="26"/>
              </w:rPr>
              <w:t>Satın alınacak cihaz miktarı</w:t>
            </w:r>
          </w:p>
          <w:p w:rsidR="00EE7887" w:rsidRDefault="000F7272" w:rsidP="004D0B8D">
            <w:pPr>
              <w:ind w:left="48"/>
            </w:pPr>
            <w:r>
              <w:rPr>
                <w:sz w:val="24"/>
              </w:rPr>
              <w:t>30</w:t>
            </w:r>
            <w:r w:rsidR="00B05BFE">
              <w:rPr>
                <w:sz w:val="24"/>
              </w:rPr>
              <w:t xml:space="preserve"> (</w:t>
            </w:r>
            <w:r>
              <w:rPr>
                <w:sz w:val="24"/>
              </w:rPr>
              <w:t>Otuz</w:t>
            </w:r>
            <w:r w:rsidR="00B05BFE">
              <w:rPr>
                <w:sz w:val="24"/>
              </w:rPr>
              <w:t xml:space="preserve">) Adet </w:t>
            </w:r>
            <w:r>
              <w:rPr>
                <w:sz w:val="24"/>
              </w:rPr>
              <w:t>Macintosh</w:t>
            </w:r>
            <w:r w:rsidR="00B05BFE">
              <w:rPr>
                <w:sz w:val="24"/>
              </w:rPr>
              <w:t xml:space="preserve"> Tip Bilgisayar </w:t>
            </w:r>
            <w:r w:rsidR="004D0B8D">
              <w:rPr>
                <w:sz w:val="24"/>
              </w:rPr>
              <w:t xml:space="preserve">ve </w:t>
            </w:r>
            <w:r w:rsidR="003215B0">
              <w:rPr>
                <w:sz w:val="24"/>
              </w:rPr>
              <w:t>Sarfları (</w:t>
            </w:r>
            <w:r w:rsidR="004D0B8D">
              <w:rPr>
                <w:sz w:val="24"/>
              </w:rPr>
              <w:t>bilgisayar adedi kadar Mouse ve Klavye</w:t>
            </w:r>
            <w:r w:rsidR="003215B0">
              <w:rPr>
                <w:sz w:val="24"/>
              </w:rPr>
              <w:t xml:space="preserve">) </w:t>
            </w:r>
            <w:r w:rsidR="00B05BFE">
              <w:rPr>
                <w:sz w:val="24"/>
              </w:rPr>
              <w:t>alınacaktır.</w:t>
            </w:r>
          </w:p>
        </w:tc>
      </w:tr>
    </w:tbl>
    <w:p w:rsidR="002F5788" w:rsidRDefault="00B05BFE">
      <w:pPr>
        <w:spacing w:after="0"/>
        <w:ind w:left="1858" w:hanging="10"/>
      </w:pPr>
      <w:r>
        <w:rPr>
          <w:noProof/>
        </w:rPr>
        <w:drawing>
          <wp:anchor distT="0" distB="0" distL="114300" distR="114300" simplePos="0" relativeHeight="251659264" behindDoc="0" locked="0" layoutInCell="1" allowOverlap="0">
            <wp:simplePos x="0" y="0"/>
            <wp:positionH relativeFrom="page">
              <wp:posOffset>286627</wp:posOffset>
            </wp:positionH>
            <wp:positionV relativeFrom="page">
              <wp:posOffset>759114</wp:posOffset>
            </wp:positionV>
            <wp:extent cx="3049" cy="3049"/>
            <wp:effectExtent l="0" t="0" r="0" b="0"/>
            <wp:wrapSquare wrapText="bothSides"/>
            <wp:docPr id="6178" name="Picture 6178"/>
            <wp:cNvGraphicFramePr/>
            <a:graphic xmlns:a="http://schemas.openxmlformats.org/drawingml/2006/main">
              <a:graphicData uri="http://schemas.openxmlformats.org/drawingml/2006/picture">
                <pic:pic xmlns:pic="http://schemas.openxmlformats.org/drawingml/2006/picture">
                  <pic:nvPicPr>
                    <pic:cNvPr id="6178" name="Picture 6178"/>
                    <pic:cNvPicPr/>
                  </pic:nvPicPr>
                  <pic:blipFill>
                    <a:blip r:embed="rId7"/>
                    <a:stretch>
                      <a:fillRect/>
                    </a:stretch>
                  </pic:blipFill>
                  <pic:spPr>
                    <a:xfrm>
                      <a:off x="0" y="0"/>
                      <a:ext cx="3049" cy="3049"/>
                    </a:xfrm>
                    <a:prstGeom prst="rect">
                      <a:avLst/>
                    </a:prstGeom>
                  </pic:spPr>
                </pic:pic>
              </a:graphicData>
            </a:graphic>
          </wp:anchor>
        </w:drawing>
      </w:r>
    </w:p>
    <w:p w:rsidR="002F5788" w:rsidRDefault="002F5788">
      <w:pPr>
        <w:spacing w:after="0"/>
        <w:ind w:left="1858" w:hanging="10"/>
      </w:pPr>
    </w:p>
    <w:tbl>
      <w:tblPr>
        <w:tblStyle w:val="TableGrid"/>
        <w:tblW w:w="11054" w:type="dxa"/>
        <w:tblInd w:w="-1911" w:type="dxa"/>
        <w:tblCellMar>
          <w:top w:w="141" w:type="dxa"/>
          <w:left w:w="91" w:type="dxa"/>
          <w:right w:w="72" w:type="dxa"/>
        </w:tblCellMar>
        <w:tblLook w:val="04A0" w:firstRow="1" w:lastRow="0" w:firstColumn="1" w:lastColumn="0" w:noHBand="0" w:noVBand="1"/>
      </w:tblPr>
      <w:tblGrid>
        <w:gridCol w:w="1268"/>
        <w:gridCol w:w="9786"/>
      </w:tblGrid>
      <w:tr w:rsidR="002F5788" w:rsidTr="0022186F">
        <w:trPr>
          <w:trHeight w:val="2121"/>
        </w:trPr>
        <w:tc>
          <w:tcPr>
            <w:tcW w:w="1268" w:type="dxa"/>
            <w:tcBorders>
              <w:top w:val="single" w:sz="2" w:space="0" w:color="000000"/>
              <w:left w:val="single" w:sz="2" w:space="0" w:color="000000"/>
              <w:bottom w:val="single" w:sz="2" w:space="0" w:color="000000"/>
              <w:right w:val="single" w:sz="2" w:space="0" w:color="000000"/>
            </w:tcBorders>
            <w:vAlign w:val="center"/>
          </w:tcPr>
          <w:p w:rsidR="002F5788" w:rsidRDefault="0022186F">
            <w:pPr>
              <w:ind w:left="10"/>
            </w:pPr>
            <w:r>
              <w:rPr>
                <w:sz w:val="24"/>
              </w:rPr>
              <w:t>3</w:t>
            </w:r>
            <w:r w:rsidR="00B05BFE">
              <w:rPr>
                <w:sz w:val="24"/>
              </w:rPr>
              <w:t>.2</w:t>
            </w:r>
          </w:p>
        </w:tc>
        <w:tc>
          <w:tcPr>
            <w:tcW w:w="9786" w:type="dxa"/>
            <w:tcBorders>
              <w:top w:val="single" w:sz="2" w:space="0" w:color="000000"/>
              <w:left w:val="single" w:sz="2" w:space="0" w:color="000000"/>
              <w:bottom w:val="single" w:sz="2" w:space="0" w:color="000000"/>
              <w:right w:val="single" w:sz="2" w:space="0" w:color="000000"/>
            </w:tcBorders>
          </w:tcPr>
          <w:p w:rsidR="002F5788" w:rsidRDefault="00B05BFE">
            <w:pPr>
              <w:spacing w:after="49"/>
            </w:pPr>
            <w:r>
              <w:rPr>
                <w:sz w:val="24"/>
              </w:rPr>
              <w:t>Ambalajlama ve etiketleme ile ilgili diğer hususlar;</w:t>
            </w:r>
          </w:p>
          <w:p w:rsidR="002F5788" w:rsidRDefault="00B05BFE">
            <w:pPr>
              <w:numPr>
                <w:ilvl w:val="0"/>
                <w:numId w:val="6"/>
              </w:numPr>
              <w:spacing w:after="36"/>
              <w:ind w:right="34" w:firstLine="2"/>
              <w:jc w:val="both"/>
            </w:pPr>
            <w:r>
              <w:rPr>
                <w:sz w:val="24"/>
              </w:rPr>
              <w:t>Etiketler silinmeyen malzemeden yapılmış olacaktır.</w:t>
            </w:r>
          </w:p>
          <w:p w:rsidR="002F5788" w:rsidRDefault="00B05BFE">
            <w:pPr>
              <w:numPr>
                <w:ilvl w:val="0"/>
                <w:numId w:val="6"/>
              </w:numPr>
              <w:spacing w:after="78" w:line="216" w:lineRule="auto"/>
              <w:ind w:right="34" w:firstLine="2"/>
              <w:jc w:val="both"/>
            </w:pPr>
            <w:r>
              <w:rPr>
                <w:sz w:val="24"/>
              </w:rPr>
              <w:t xml:space="preserve">Teslim edilen her bir kasa ve monitör için ayrı ayrı olmak üzere garanti etiketleri </w:t>
            </w:r>
            <w:r w:rsidR="0044172F">
              <w:rPr>
                <w:sz w:val="24"/>
              </w:rPr>
              <w:t>teslim</w:t>
            </w:r>
            <w:r>
              <w:rPr>
                <w:sz w:val="24"/>
              </w:rPr>
              <w:t xml:space="preserve"> aşamasında </w:t>
            </w:r>
            <w:r w:rsidR="0044172F">
              <w:rPr>
                <w:sz w:val="24"/>
              </w:rPr>
              <w:t>verilecektir</w:t>
            </w:r>
            <w:r>
              <w:rPr>
                <w:sz w:val="24"/>
              </w:rPr>
              <w:t>. Etiket içeriğinde; Garanti Bilgileri (Garanti Süresi, Garanti Başlangıç Tarihi, Garanti Bitiş Tarihi, Sözleşme Tarihi ve Numarası) ve Firma Bilgileri (Yüklenici Firma Adı ve Unvanı, Telefon Numarası, Çağrı Merkezi Numarası, E-Posta Adresi Belgegeçer Numarası, Firma Adresi, Kargo Anlaşma Numarası ve Bilgisi) bulunacaktır.</w:t>
            </w:r>
          </w:p>
          <w:p w:rsidR="002F5788" w:rsidRDefault="002F5788" w:rsidP="0022186F">
            <w:pPr>
              <w:ind w:left="12" w:right="34"/>
              <w:jc w:val="both"/>
            </w:pPr>
          </w:p>
        </w:tc>
      </w:tr>
      <w:tr w:rsidR="002F5788" w:rsidTr="00D16C08">
        <w:trPr>
          <w:trHeight w:val="6975"/>
        </w:trPr>
        <w:tc>
          <w:tcPr>
            <w:tcW w:w="1268" w:type="dxa"/>
            <w:tcBorders>
              <w:top w:val="single" w:sz="2" w:space="0" w:color="000000"/>
              <w:left w:val="single" w:sz="2" w:space="0" w:color="000000"/>
              <w:bottom w:val="single" w:sz="2" w:space="0" w:color="000000"/>
              <w:right w:val="single" w:sz="2" w:space="0" w:color="000000"/>
            </w:tcBorders>
            <w:vAlign w:val="center"/>
          </w:tcPr>
          <w:p w:rsidR="002F5788" w:rsidRDefault="0022186F">
            <w:pPr>
              <w:ind w:left="34"/>
            </w:pPr>
            <w:r>
              <w:rPr>
                <w:sz w:val="24"/>
              </w:rPr>
              <w:lastRenderedPageBreak/>
              <w:t>4</w:t>
            </w:r>
            <w:r w:rsidR="00B05BFE">
              <w:rPr>
                <w:sz w:val="24"/>
              </w:rPr>
              <w:t>.1</w:t>
            </w:r>
          </w:p>
        </w:tc>
        <w:tc>
          <w:tcPr>
            <w:tcW w:w="9786" w:type="dxa"/>
            <w:tcBorders>
              <w:top w:val="single" w:sz="2" w:space="0" w:color="000000"/>
              <w:left w:val="single" w:sz="2" w:space="0" w:color="000000"/>
              <w:bottom w:val="single" w:sz="2" w:space="0" w:color="000000"/>
              <w:right w:val="single" w:sz="2" w:space="0" w:color="000000"/>
            </w:tcBorders>
          </w:tcPr>
          <w:p w:rsidR="002F5788" w:rsidRPr="001904D5" w:rsidRDefault="00B05BFE">
            <w:pPr>
              <w:spacing w:after="177"/>
              <w:ind w:left="24"/>
              <w:rPr>
                <w:sz w:val="24"/>
                <w:szCs w:val="24"/>
              </w:rPr>
            </w:pPr>
            <w:bookmarkStart w:id="0" w:name="_GoBack"/>
            <w:r w:rsidRPr="001904D5">
              <w:rPr>
                <w:sz w:val="24"/>
                <w:szCs w:val="24"/>
              </w:rPr>
              <w:t>Garanti</w:t>
            </w:r>
            <w:bookmarkEnd w:id="0"/>
            <w:r w:rsidRPr="001904D5">
              <w:rPr>
                <w:sz w:val="24"/>
                <w:szCs w:val="24"/>
              </w:rPr>
              <w:t xml:space="preserve"> şartları ile ilgili diğer hususlar</w:t>
            </w:r>
          </w:p>
          <w:p w:rsidR="002F5788" w:rsidRPr="001904D5" w:rsidRDefault="00B05BFE">
            <w:pPr>
              <w:numPr>
                <w:ilvl w:val="0"/>
                <w:numId w:val="7"/>
              </w:numPr>
              <w:spacing w:after="189" w:line="216" w:lineRule="auto"/>
              <w:ind w:left="39" w:hanging="5"/>
              <w:jc w:val="both"/>
              <w:rPr>
                <w:sz w:val="24"/>
                <w:szCs w:val="24"/>
              </w:rPr>
            </w:pPr>
            <w:r w:rsidRPr="001904D5">
              <w:rPr>
                <w:sz w:val="24"/>
                <w:szCs w:val="24"/>
              </w:rPr>
              <w:t>Satın alma konusunu teşkil eden malzemeler tüm donanımları ile birlikte kesin kabul tarihinden her türlü</w:t>
            </w:r>
            <w:r w:rsidR="00F97839">
              <w:rPr>
                <w:sz w:val="24"/>
                <w:szCs w:val="24"/>
              </w:rPr>
              <w:t xml:space="preserve"> işçilik ve materyal yönünden 2 (iki</w:t>
            </w:r>
            <w:r w:rsidRPr="001904D5">
              <w:rPr>
                <w:sz w:val="24"/>
                <w:szCs w:val="24"/>
              </w:rPr>
              <w:t>) yıl süre</w:t>
            </w:r>
            <w:r w:rsidR="001904D5" w:rsidRPr="001904D5">
              <w:rPr>
                <w:sz w:val="24"/>
                <w:szCs w:val="24"/>
              </w:rPr>
              <w:t xml:space="preserve">li yerinde, </w:t>
            </w:r>
            <w:r w:rsidRPr="001904D5">
              <w:rPr>
                <w:sz w:val="24"/>
                <w:szCs w:val="24"/>
              </w:rPr>
              <w:t>yüklenici ve üretici garantisi altında olacaktır. Bu husus istekli tarafından teklif dosyasında belgelendirilecektir</w:t>
            </w:r>
            <w:r w:rsidRPr="001904D5">
              <w:rPr>
                <w:noProof/>
                <w:sz w:val="24"/>
                <w:szCs w:val="24"/>
              </w:rPr>
              <w:drawing>
                <wp:inline distT="0" distB="0" distL="0" distR="0">
                  <wp:extent cx="12197" cy="15243"/>
                  <wp:effectExtent l="0" t="0" r="0" b="0"/>
                  <wp:docPr id="9716" name="Picture 9716"/>
                  <wp:cNvGraphicFramePr/>
                  <a:graphic xmlns:a="http://schemas.openxmlformats.org/drawingml/2006/main">
                    <a:graphicData uri="http://schemas.openxmlformats.org/drawingml/2006/picture">
                      <pic:pic xmlns:pic="http://schemas.openxmlformats.org/drawingml/2006/picture">
                        <pic:nvPicPr>
                          <pic:cNvPr id="9716" name="Picture 9716"/>
                          <pic:cNvPicPr/>
                        </pic:nvPicPr>
                        <pic:blipFill>
                          <a:blip r:embed="rId8"/>
                          <a:stretch>
                            <a:fillRect/>
                          </a:stretch>
                        </pic:blipFill>
                        <pic:spPr>
                          <a:xfrm>
                            <a:off x="0" y="0"/>
                            <a:ext cx="12197" cy="15243"/>
                          </a:xfrm>
                          <a:prstGeom prst="rect">
                            <a:avLst/>
                          </a:prstGeom>
                        </pic:spPr>
                      </pic:pic>
                    </a:graphicData>
                  </a:graphic>
                </wp:inline>
              </w:drawing>
            </w:r>
          </w:p>
          <w:p w:rsidR="001904D5" w:rsidRDefault="00B05BFE" w:rsidP="00396086">
            <w:pPr>
              <w:numPr>
                <w:ilvl w:val="0"/>
                <w:numId w:val="7"/>
              </w:numPr>
              <w:spacing w:after="94" w:line="216" w:lineRule="auto"/>
              <w:ind w:left="39" w:hanging="5"/>
              <w:jc w:val="both"/>
              <w:rPr>
                <w:sz w:val="24"/>
                <w:szCs w:val="24"/>
              </w:rPr>
            </w:pPr>
            <w:r w:rsidRPr="001904D5">
              <w:rPr>
                <w:sz w:val="24"/>
                <w:szCs w:val="24"/>
              </w:rPr>
              <w:t>Masaüstü bilgisayarın kasa, ekran, klavye ve faresi yüklenici ve üretici garantisi altında olacaktır.</w:t>
            </w:r>
          </w:p>
          <w:p w:rsidR="001904D5" w:rsidRDefault="00B05BFE" w:rsidP="001904D5">
            <w:pPr>
              <w:numPr>
                <w:ilvl w:val="0"/>
                <w:numId w:val="7"/>
              </w:numPr>
              <w:spacing w:after="94" w:line="216" w:lineRule="auto"/>
              <w:ind w:left="39" w:hanging="5"/>
              <w:jc w:val="both"/>
              <w:rPr>
                <w:sz w:val="24"/>
                <w:szCs w:val="24"/>
              </w:rPr>
            </w:pPr>
            <w:r w:rsidRPr="001904D5">
              <w:rPr>
                <w:sz w:val="24"/>
                <w:szCs w:val="24"/>
              </w:rPr>
              <w:t xml:space="preserve">Üretici ve yüklenici garantisi eş zamanlı olarak masaüstü bilgisayarların tamamının </w:t>
            </w:r>
            <w:r w:rsidR="009E6A1A">
              <w:rPr>
                <w:sz w:val="24"/>
                <w:szCs w:val="24"/>
              </w:rPr>
              <w:t>fatura edildiği tarihten itibaren başlar.</w:t>
            </w:r>
          </w:p>
          <w:p w:rsidR="002F5788" w:rsidRDefault="00B05BFE" w:rsidP="001904D5">
            <w:pPr>
              <w:numPr>
                <w:ilvl w:val="0"/>
                <w:numId w:val="7"/>
              </w:numPr>
              <w:spacing w:after="94" w:line="216" w:lineRule="auto"/>
              <w:ind w:left="39" w:hanging="5"/>
              <w:jc w:val="both"/>
              <w:rPr>
                <w:sz w:val="24"/>
                <w:szCs w:val="24"/>
              </w:rPr>
            </w:pPr>
            <w:r w:rsidRPr="001904D5">
              <w:rPr>
                <w:sz w:val="24"/>
                <w:szCs w:val="24"/>
              </w:rPr>
              <w:t xml:space="preserve">Garanti süresi içerisinde meydana gelebilecek her türlü arıza ve eksiklik, idare tarafından arızalı malzeme/cihaz/cihazların firmaya teslim tarihinden itibaren en geç </w:t>
            </w:r>
            <w:r w:rsidR="004C50C2">
              <w:rPr>
                <w:sz w:val="24"/>
                <w:szCs w:val="24"/>
              </w:rPr>
              <w:t>20</w:t>
            </w:r>
            <w:r w:rsidRPr="001904D5">
              <w:rPr>
                <w:sz w:val="24"/>
                <w:szCs w:val="24"/>
              </w:rPr>
              <w:t xml:space="preserve"> (</w:t>
            </w:r>
            <w:r w:rsidR="004C50C2">
              <w:rPr>
                <w:sz w:val="24"/>
                <w:szCs w:val="24"/>
              </w:rPr>
              <w:t>yirmi</w:t>
            </w:r>
            <w:r w:rsidRPr="001904D5">
              <w:rPr>
                <w:sz w:val="24"/>
                <w:szCs w:val="24"/>
              </w:rPr>
              <w:t>) iş günü içinde malzeme/cihaz/cihazların sevk (gidişgeliş kargo): sigorta ve bakım onarım masrafları yükleniciye ait olmak üzere cihazın arızası giderilecektir. Bu süre içerisinde arızası giderilemeyen malzemeler, mevcut tüm fonksiyon ve kabiliyetleri karşılayan yenisi ile değiştirilecektir. Yüklenici tarafından, değiştirilen cihazın mevcut tüm fonksiyon ve kabiliyetleri karşıladığına dair garanti belgesi veya taahhüt belgesi verilecektir.</w:t>
            </w:r>
          </w:p>
          <w:p w:rsidR="00591628" w:rsidRDefault="00591628" w:rsidP="00591628">
            <w:pPr>
              <w:numPr>
                <w:ilvl w:val="0"/>
                <w:numId w:val="7"/>
              </w:numPr>
              <w:spacing w:after="94" w:line="216" w:lineRule="auto"/>
              <w:ind w:hanging="5"/>
              <w:jc w:val="both"/>
              <w:rPr>
                <w:sz w:val="24"/>
                <w:szCs w:val="24"/>
              </w:rPr>
            </w:pPr>
            <w:r w:rsidRPr="00591628">
              <w:rPr>
                <w:sz w:val="24"/>
                <w:szCs w:val="24"/>
              </w:rPr>
              <w:t xml:space="preserve">Garanti süresi içinde, idare tarafından satın alınacak cihazlarda ek donanım ve yazılım kullanılabilecek, idare tarafından yapılacak </w:t>
            </w:r>
            <w:proofErr w:type="gramStart"/>
            <w:r w:rsidRPr="00591628">
              <w:rPr>
                <w:sz w:val="24"/>
                <w:szCs w:val="24"/>
              </w:rPr>
              <w:t>konfigürasyon</w:t>
            </w:r>
            <w:proofErr w:type="gramEnd"/>
            <w:r w:rsidRPr="00591628">
              <w:rPr>
                <w:sz w:val="24"/>
                <w:szCs w:val="24"/>
              </w:rPr>
              <w:t xml:space="preserve"> değişikliklerinde (ekran kartı ekleme Ethernet kartı ekleme, Ram ekleme gibi) cihaz garanti dışında bırakılamayacaktır.</w:t>
            </w:r>
          </w:p>
          <w:p w:rsidR="00591628" w:rsidRDefault="00591628" w:rsidP="00591628">
            <w:pPr>
              <w:numPr>
                <w:ilvl w:val="0"/>
                <w:numId w:val="7"/>
              </w:numPr>
              <w:spacing w:after="94" w:line="216" w:lineRule="auto"/>
              <w:ind w:hanging="5"/>
              <w:jc w:val="both"/>
              <w:rPr>
                <w:sz w:val="24"/>
                <w:szCs w:val="24"/>
              </w:rPr>
            </w:pPr>
            <w:r w:rsidRPr="00591628">
              <w:rPr>
                <w:sz w:val="24"/>
                <w:szCs w:val="24"/>
              </w:rPr>
              <w:t>İdarenin talep etmesi durumunda, tedarik edilecek malzemelerin garanti süresi içindeki arıza kayıt ve raporları, e-posta yoluyla veya yazılı olarak yüklenici tarafından idareye bildirilecektir</w:t>
            </w:r>
            <w:r>
              <w:rPr>
                <w:sz w:val="24"/>
                <w:szCs w:val="24"/>
              </w:rPr>
              <w:t>.</w:t>
            </w:r>
          </w:p>
          <w:p w:rsidR="00591628" w:rsidRPr="00591628" w:rsidRDefault="00591628" w:rsidP="00591628">
            <w:pPr>
              <w:numPr>
                <w:ilvl w:val="0"/>
                <w:numId w:val="7"/>
              </w:numPr>
              <w:spacing w:after="94" w:line="216" w:lineRule="auto"/>
              <w:ind w:hanging="5"/>
              <w:jc w:val="both"/>
              <w:rPr>
                <w:sz w:val="24"/>
                <w:szCs w:val="24"/>
              </w:rPr>
            </w:pPr>
            <w:r w:rsidRPr="00591628">
              <w:rPr>
                <w:sz w:val="24"/>
                <w:szCs w:val="24"/>
              </w:rPr>
              <w:t>Yüklenicinin bir çağrı merkezi olacak, garanti süresince tüm satış noktası destek faaliyetleri bu merkezden yönetilecektir.</w:t>
            </w:r>
          </w:p>
        </w:tc>
      </w:tr>
    </w:tbl>
    <w:p w:rsidR="002F5788" w:rsidRDefault="002F5788">
      <w:pPr>
        <w:spacing w:after="0"/>
        <w:ind w:left="1858" w:hanging="10"/>
      </w:pPr>
    </w:p>
    <w:tbl>
      <w:tblPr>
        <w:tblStyle w:val="TableGrid"/>
        <w:tblW w:w="11046" w:type="dxa"/>
        <w:tblInd w:w="-1923" w:type="dxa"/>
        <w:tblCellMar>
          <w:left w:w="96" w:type="dxa"/>
          <w:right w:w="110" w:type="dxa"/>
        </w:tblCellMar>
        <w:tblLook w:val="04A0" w:firstRow="1" w:lastRow="0" w:firstColumn="1" w:lastColumn="0" w:noHBand="0" w:noVBand="1"/>
      </w:tblPr>
      <w:tblGrid>
        <w:gridCol w:w="1260"/>
        <w:gridCol w:w="9786"/>
      </w:tblGrid>
      <w:tr w:rsidR="002F5788" w:rsidTr="00A76417">
        <w:trPr>
          <w:trHeight w:val="4451"/>
        </w:trPr>
        <w:tc>
          <w:tcPr>
            <w:tcW w:w="1260" w:type="dxa"/>
            <w:tcBorders>
              <w:top w:val="single" w:sz="2" w:space="0" w:color="000000"/>
              <w:left w:val="single" w:sz="2" w:space="0" w:color="000000"/>
              <w:bottom w:val="single" w:sz="4" w:space="0" w:color="auto"/>
              <w:right w:val="single" w:sz="2" w:space="0" w:color="000000"/>
            </w:tcBorders>
          </w:tcPr>
          <w:p w:rsidR="002F5788" w:rsidRDefault="00591628" w:rsidP="009E3735">
            <w:pPr>
              <w:ind w:left="34"/>
            </w:pPr>
            <w:r w:rsidRPr="009E3735">
              <w:rPr>
                <w:sz w:val="24"/>
              </w:rPr>
              <w:t>5.</w:t>
            </w:r>
            <w:r w:rsidR="009E3735">
              <w:rPr>
                <w:sz w:val="24"/>
              </w:rPr>
              <w:t>5</w:t>
            </w:r>
          </w:p>
        </w:tc>
        <w:tc>
          <w:tcPr>
            <w:tcW w:w="9786" w:type="dxa"/>
            <w:tcBorders>
              <w:top w:val="single" w:sz="2" w:space="0" w:color="000000"/>
              <w:left w:val="single" w:sz="2" w:space="0" w:color="000000"/>
              <w:bottom w:val="single" w:sz="2" w:space="0" w:color="000000"/>
              <w:right w:val="single" w:sz="2" w:space="0" w:color="000000"/>
            </w:tcBorders>
            <w:vAlign w:val="center"/>
          </w:tcPr>
          <w:p w:rsidR="00591628" w:rsidRDefault="00591628" w:rsidP="00591628">
            <w:pPr>
              <w:spacing w:after="177"/>
              <w:ind w:left="24"/>
              <w:rPr>
                <w:rFonts w:ascii="Times New Roman" w:hAnsi="Times New Roman" w:cs="Times New Roman"/>
                <w:sz w:val="24"/>
                <w:szCs w:val="24"/>
              </w:rPr>
            </w:pPr>
            <w:r w:rsidRPr="00C53807">
              <w:rPr>
                <w:rFonts w:ascii="Times New Roman" w:hAnsi="Times New Roman" w:cs="Times New Roman"/>
                <w:sz w:val="24"/>
                <w:szCs w:val="24"/>
              </w:rPr>
              <w:t>Denetim ve muayene ile ilgili diğer hususlar</w:t>
            </w:r>
          </w:p>
          <w:p w:rsidR="00591628" w:rsidRDefault="00591628" w:rsidP="00591628">
            <w:pPr>
              <w:spacing w:after="177"/>
              <w:ind w:left="24"/>
              <w:rPr>
                <w:rFonts w:ascii="Times New Roman" w:hAnsi="Times New Roman" w:cs="Times New Roman"/>
                <w:sz w:val="24"/>
                <w:szCs w:val="24"/>
              </w:rPr>
            </w:pPr>
          </w:p>
          <w:p w:rsidR="00591628" w:rsidRPr="00591628" w:rsidRDefault="00591628" w:rsidP="00591628">
            <w:pPr>
              <w:pStyle w:val="ListeParagraf"/>
              <w:numPr>
                <w:ilvl w:val="0"/>
                <w:numId w:val="11"/>
              </w:numPr>
              <w:rPr>
                <w:sz w:val="24"/>
                <w:szCs w:val="24"/>
              </w:rPr>
            </w:pPr>
            <w:r w:rsidRPr="001904D5">
              <w:rPr>
                <w:noProof/>
                <w:sz w:val="24"/>
                <w:szCs w:val="24"/>
              </w:rPr>
              <w:drawing>
                <wp:inline distT="0" distB="0" distL="0" distR="0" wp14:anchorId="1144C19B" wp14:editId="15C3FF40">
                  <wp:extent cx="12197" cy="1524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9716" name="Picture 9716"/>
                          <pic:cNvPicPr/>
                        </pic:nvPicPr>
                        <pic:blipFill>
                          <a:blip r:embed="rId8"/>
                          <a:stretch>
                            <a:fillRect/>
                          </a:stretch>
                        </pic:blipFill>
                        <pic:spPr>
                          <a:xfrm>
                            <a:off x="0" y="0"/>
                            <a:ext cx="12197" cy="15243"/>
                          </a:xfrm>
                          <a:prstGeom prst="rect">
                            <a:avLst/>
                          </a:prstGeom>
                        </pic:spPr>
                      </pic:pic>
                    </a:graphicData>
                  </a:graphic>
                </wp:inline>
              </w:drawing>
            </w:r>
            <w:r>
              <w:t xml:space="preserve"> </w:t>
            </w:r>
            <w:r w:rsidRPr="00591628">
              <w:rPr>
                <w:sz w:val="24"/>
                <w:szCs w:val="24"/>
              </w:rPr>
              <w:t xml:space="preserve">Denetim ve muayene esnasında ihtiyaç duyulacak taşıma vasıtası, donanım, kablo, konektör, çevirici, </w:t>
            </w:r>
            <w:proofErr w:type="spellStart"/>
            <w:r w:rsidRPr="00591628">
              <w:rPr>
                <w:sz w:val="24"/>
                <w:szCs w:val="24"/>
              </w:rPr>
              <w:t>çoklayıcı</w:t>
            </w:r>
            <w:proofErr w:type="spellEnd"/>
            <w:r w:rsidRPr="00591628">
              <w:rPr>
                <w:sz w:val="24"/>
                <w:szCs w:val="24"/>
              </w:rPr>
              <w:t>, elektrik bağlantı kabloları yüklenici tarafından sağlanacaktır.</w:t>
            </w:r>
          </w:p>
          <w:p w:rsidR="00591628" w:rsidRPr="00591628" w:rsidRDefault="00591628" w:rsidP="00591628">
            <w:pPr>
              <w:pStyle w:val="ListeParagraf"/>
              <w:numPr>
                <w:ilvl w:val="0"/>
                <w:numId w:val="11"/>
              </w:numPr>
              <w:rPr>
                <w:sz w:val="24"/>
                <w:szCs w:val="24"/>
              </w:rPr>
            </w:pPr>
            <w:proofErr w:type="spellStart"/>
            <w:r w:rsidRPr="00591628">
              <w:rPr>
                <w:sz w:val="24"/>
                <w:szCs w:val="24"/>
              </w:rPr>
              <w:t>Tahribatlı</w:t>
            </w:r>
            <w:proofErr w:type="spellEnd"/>
            <w:r w:rsidRPr="00591628">
              <w:rPr>
                <w:sz w:val="24"/>
                <w:szCs w:val="24"/>
              </w:rPr>
              <w:t xml:space="preserve"> muayeneler neticesinde eksilen malzemeler yüklenici tarafından tamamlanacaktır.</w:t>
            </w:r>
          </w:p>
          <w:p w:rsidR="00591628" w:rsidRPr="00591628" w:rsidRDefault="00591628" w:rsidP="00591628">
            <w:pPr>
              <w:pStyle w:val="ListeParagraf"/>
              <w:numPr>
                <w:ilvl w:val="0"/>
                <w:numId w:val="11"/>
              </w:numPr>
              <w:rPr>
                <w:sz w:val="24"/>
                <w:szCs w:val="24"/>
              </w:rPr>
            </w:pPr>
            <w:r w:rsidRPr="00591628">
              <w:rPr>
                <w:sz w:val="24"/>
                <w:szCs w:val="24"/>
              </w:rPr>
              <w:t>Muayene esnasında bozulan ambalajların kapatılması yüklenici tarafından yapılacaktır.</w:t>
            </w:r>
          </w:p>
          <w:p w:rsidR="002F5788" w:rsidRDefault="002F5788" w:rsidP="00591628">
            <w:pPr>
              <w:spacing w:after="94" w:line="216" w:lineRule="auto"/>
              <w:jc w:val="both"/>
            </w:pPr>
          </w:p>
        </w:tc>
      </w:tr>
    </w:tbl>
    <w:p w:rsidR="002F5788" w:rsidRDefault="002F5788" w:rsidP="0022186F">
      <w:pPr>
        <w:spacing w:after="7360"/>
        <w:ind w:left="5897" w:right="-1383"/>
      </w:pPr>
    </w:p>
    <w:sectPr w:rsidR="002F5788">
      <w:headerReference w:type="even" r:id="rId9"/>
      <w:headerReference w:type="default" r:id="rId10"/>
      <w:pgSz w:w="11981" w:h="16837"/>
      <w:pgMar w:top="1092" w:right="2444" w:bottom="706" w:left="255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A7C" w:rsidRDefault="00823A7C">
      <w:pPr>
        <w:spacing w:after="0" w:line="240" w:lineRule="auto"/>
      </w:pPr>
      <w:r>
        <w:separator/>
      </w:r>
    </w:p>
  </w:endnote>
  <w:endnote w:type="continuationSeparator" w:id="0">
    <w:p w:rsidR="00823A7C" w:rsidRDefault="0082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A7C" w:rsidRDefault="00823A7C">
      <w:pPr>
        <w:spacing w:after="0" w:line="240" w:lineRule="auto"/>
      </w:pPr>
      <w:r>
        <w:separator/>
      </w:r>
    </w:p>
  </w:footnote>
  <w:footnote w:type="continuationSeparator" w:id="0">
    <w:p w:rsidR="00823A7C" w:rsidRDefault="00823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88" w:rsidRDefault="00B05BFE">
    <w:pPr>
      <w:tabs>
        <w:tab w:val="right" w:pos="8711"/>
      </w:tabs>
      <w:spacing w:after="0"/>
      <w:ind w:left="-1354" w:right="-1724"/>
    </w:pPr>
    <w:proofErr w:type="gramStart"/>
    <w:r>
      <w:rPr>
        <w:sz w:val="28"/>
      </w:rPr>
      <w:t>sayı</w:t>
    </w:r>
    <w:proofErr w:type="gramEnd"/>
    <w:r>
      <w:rPr>
        <w:sz w:val="28"/>
      </w:rPr>
      <w:t xml:space="preserve">: </w:t>
    </w:r>
    <w:r>
      <w:rPr>
        <w:sz w:val="24"/>
      </w:rPr>
      <w:t>44713789-4390-</w:t>
    </w:r>
    <w:r>
      <w:rPr>
        <w:sz w:val="24"/>
      </w:rPr>
      <w:tab/>
    </w:r>
    <w:r>
      <w:rPr>
        <w:sz w:val="26"/>
      </w:rPr>
      <w:t xml:space="preserve">Ocak </w:t>
    </w:r>
    <w:r>
      <w:rPr>
        <w:sz w:val="24"/>
      </w:rPr>
      <w:t>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88" w:rsidRDefault="00B05BFE">
    <w:pPr>
      <w:tabs>
        <w:tab w:val="right" w:pos="8711"/>
      </w:tabs>
      <w:spacing w:after="0"/>
      <w:ind w:left="-1354" w:right="-1724"/>
    </w:pPr>
    <w:r>
      <w:rPr>
        <w:sz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58A3"/>
    <w:multiLevelType w:val="hybridMultilevel"/>
    <w:tmpl w:val="71AC5D7C"/>
    <w:lvl w:ilvl="0" w:tplc="FC9236D2">
      <w:start w:val="1"/>
      <w:numFmt w:val="lowerLetter"/>
      <w:lvlText w:val="%1."/>
      <w:lvlJc w:val="left"/>
      <w:pPr>
        <w:ind w:left="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07458CC">
      <w:start w:val="1"/>
      <w:numFmt w:val="lowerLetter"/>
      <w:lvlText w:val="%2"/>
      <w:lvlJc w:val="left"/>
      <w:pPr>
        <w:ind w:left="11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D024446">
      <w:start w:val="1"/>
      <w:numFmt w:val="lowerRoman"/>
      <w:lvlText w:val="%3"/>
      <w:lvlJc w:val="left"/>
      <w:pPr>
        <w:ind w:left="18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ED03538">
      <w:start w:val="1"/>
      <w:numFmt w:val="decimal"/>
      <w:lvlText w:val="%4"/>
      <w:lvlJc w:val="left"/>
      <w:pPr>
        <w:ind w:left="26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23AB30C">
      <w:start w:val="1"/>
      <w:numFmt w:val="lowerLetter"/>
      <w:lvlText w:val="%5"/>
      <w:lvlJc w:val="left"/>
      <w:pPr>
        <w:ind w:left="33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5BCE292">
      <w:start w:val="1"/>
      <w:numFmt w:val="lowerRoman"/>
      <w:lvlText w:val="%6"/>
      <w:lvlJc w:val="left"/>
      <w:pPr>
        <w:ind w:left="40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58B540">
      <w:start w:val="1"/>
      <w:numFmt w:val="decimal"/>
      <w:lvlText w:val="%7"/>
      <w:lvlJc w:val="left"/>
      <w:pPr>
        <w:ind w:left="47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B4A2A4">
      <w:start w:val="1"/>
      <w:numFmt w:val="lowerLetter"/>
      <w:lvlText w:val="%8"/>
      <w:lvlJc w:val="left"/>
      <w:pPr>
        <w:ind w:left="54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030793A">
      <w:start w:val="1"/>
      <w:numFmt w:val="lowerRoman"/>
      <w:lvlText w:val="%9"/>
      <w:lvlJc w:val="left"/>
      <w:pPr>
        <w:ind w:left="62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00D08A9"/>
    <w:multiLevelType w:val="hybridMultilevel"/>
    <w:tmpl w:val="EC1C7012"/>
    <w:lvl w:ilvl="0" w:tplc="FABA383A">
      <w:start w:val="2"/>
      <w:numFmt w:val="decimal"/>
      <w:lvlText w:val="%1."/>
      <w:lvlJc w:val="left"/>
      <w:pPr>
        <w:ind w:left="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34CB35E">
      <w:start w:val="1"/>
      <w:numFmt w:val="lowerLetter"/>
      <w:lvlText w:val="%2"/>
      <w:lvlJc w:val="left"/>
      <w:pPr>
        <w:ind w:left="11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F9EA7E4">
      <w:start w:val="1"/>
      <w:numFmt w:val="lowerRoman"/>
      <w:lvlText w:val="%3"/>
      <w:lvlJc w:val="left"/>
      <w:pPr>
        <w:ind w:left="19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6A29A9C">
      <w:start w:val="1"/>
      <w:numFmt w:val="decimal"/>
      <w:lvlText w:val="%4"/>
      <w:lvlJc w:val="left"/>
      <w:pPr>
        <w:ind w:left="26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EAA5012">
      <w:start w:val="1"/>
      <w:numFmt w:val="lowerLetter"/>
      <w:lvlText w:val="%5"/>
      <w:lvlJc w:val="left"/>
      <w:pPr>
        <w:ind w:left="33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A46E8A6">
      <w:start w:val="1"/>
      <w:numFmt w:val="lowerRoman"/>
      <w:lvlText w:val="%6"/>
      <w:lvlJc w:val="left"/>
      <w:pPr>
        <w:ind w:left="40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3820304">
      <w:start w:val="1"/>
      <w:numFmt w:val="decimal"/>
      <w:lvlText w:val="%7"/>
      <w:lvlJc w:val="left"/>
      <w:pPr>
        <w:ind w:left="47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31AD15E">
      <w:start w:val="1"/>
      <w:numFmt w:val="lowerLetter"/>
      <w:lvlText w:val="%8"/>
      <w:lvlJc w:val="left"/>
      <w:pPr>
        <w:ind w:left="55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67A0BB8">
      <w:start w:val="1"/>
      <w:numFmt w:val="lowerRoman"/>
      <w:lvlText w:val="%9"/>
      <w:lvlJc w:val="left"/>
      <w:pPr>
        <w:ind w:left="62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6BA1504"/>
    <w:multiLevelType w:val="hybridMultilevel"/>
    <w:tmpl w:val="23AAA998"/>
    <w:lvl w:ilvl="0" w:tplc="98C2DB92">
      <w:start w:val="1"/>
      <w:numFmt w:val="lowerLetter"/>
      <w:lvlText w:val="%1."/>
      <w:lvlJc w:val="left"/>
      <w:pPr>
        <w:ind w:left="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8FA81CC">
      <w:start w:val="1"/>
      <w:numFmt w:val="lowerLetter"/>
      <w:lvlText w:val="%2"/>
      <w:lvlJc w:val="left"/>
      <w:pPr>
        <w:ind w:left="12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64CD20E">
      <w:start w:val="1"/>
      <w:numFmt w:val="lowerRoman"/>
      <w:lvlText w:val="%3"/>
      <w:lvlJc w:val="left"/>
      <w:pPr>
        <w:ind w:left="19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0F62C66">
      <w:start w:val="1"/>
      <w:numFmt w:val="decimal"/>
      <w:lvlText w:val="%4"/>
      <w:lvlJc w:val="left"/>
      <w:pPr>
        <w:ind w:left="26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114C43A">
      <w:start w:val="1"/>
      <w:numFmt w:val="lowerLetter"/>
      <w:lvlText w:val="%5"/>
      <w:lvlJc w:val="left"/>
      <w:pPr>
        <w:ind w:left="33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C9C20AA">
      <w:start w:val="1"/>
      <w:numFmt w:val="lowerRoman"/>
      <w:lvlText w:val="%6"/>
      <w:lvlJc w:val="left"/>
      <w:pPr>
        <w:ind w:left="40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CC6188C">
      <w:start w:val="1"/>
      <w:numFmt w:val="decimal"/>
      <w:lvlText w:val="%7"/>
      <w:lvlJc w:val="left"/>
      <w:pPr>
        <w:ind w:left="48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52E831A">
      <w:start w:val="1"/>
      <w:numFmt w:val="lowerLetter"/>
      <w:lvlText w:val="%8"/>
      <w:lvlJc w:val="left"/>
      <w:pPr>
        <w:ind w:left="55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26A6F5C">
      <w:start w:val="1"/>
      <w:numFmt w:val="lowerRoman"/>
      <w:lvlText w:val="%9"/>
      <w:lvlJc w:val="left"/>
      <w:pPr>
        <w:ind w:left="62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AA02B3E"/>
    <w:multiLevelType w:val="hybridMultilevel"/>
    <w:tmpl w:val="6E26026C"/>
    <w:lvl w:ilvl="0" w:tplc="6BF86C36">
      <w:start w:val="1"/>
      <w:numFmt w:val="lowerLetter"/>
      <w:lvlText w:val="%1."/>
      <w:lvlJc w:val="left"/>
      <w:pPr>
        <w:ind w:left="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19AB236">
      <w:start w:val="1"/>
      <w:numFmt w:val="lowerLetter"/>
      <w:lvlText w:val="%2"/>
      <w:lvlJc w:val="left"/>
      <w:pPr>
        <w:ind w:left="11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47CA25E">
      <w:start w:val="1"/>
      <w:numFmt w:val="lowerRoman"/>
      <w:lvlText w:val="%3"/>
      <w:lvlJc w:val="left"/>
      <w:pPr>
        <w:ind w:left="19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7DC71CA">
      <w:start w:val="1"/>
      <w:numFmt w:val="decimal"/>
      <w:lvlText w:val="%4"/>
      <w:lvlJc w:val="left"/>
      <w:pPr>
        <w:ind w:left="26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DE00B8">
      <w:start w:val="1"/>
      <w:numFmt w:val="lowerLetter"/>
      <w:lvlText w:val="%5"/>
      <w:lvlJc w:val="left"/>
      <w:pPr>
        <w:ind w:left="33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F369A9C">
      <w:start w:val="1"/>
      <w:numFmt w:val="lowerRoman"/>
      <w:lvlText w:val="%6"/>
      <w:lvlJc w:val="left"/>
      <w:pPr>
        <w:ind w:left="40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480ABCC">
      <w:start w:val="1"/>
      <w:numFmt w:val="decimal"/>
      <w:lvlText w:val="%7"/>
      <w:lvlJc w:val="left"/>
      <w:pPr>
        <w:ind w:left="47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C667322">
      <w:start w:val="1"/>
      <w:numFmt w:val="lowerLetter"/>
      <w:lvlText w:val="%8"/>
      <w:lvlJc w:val="left"/>
      <w:pPr>
        <w:ind w:left="55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F247754">
      <w:start w:val="1"/>
      <w:numFmt w:val="lowerRoman"/>
      <w:lvlText w:val="%9"/>
      <w:lvlJc w:val="left"/>
      <w:pPr>
        <w:ind w:left="62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B234B52"/>
    <w:multiLevelType w:val="hybridMultilevel"/>
    <w:tmpl w:val="23AAA998"/>
    <w:lvl w:ilvl="0" w:tplc="98C2DB92">
      <w:start w:val="1"/>
      <w:numFmt w:val="lowerLetter"/>
      <w:lvlText w:val="%1."/>
      <w:lvlJc w:val="left"/>
      <w:pPr>
        <w:ind w:left="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8FA81CC">
      <w:start w:val="1"/>
      <w:numFmt w:val="lowerLetter"/>
      <w:lvlText w:val="%2"/>
      <w:lvlJc w:val="left"/>
      <w:pPr>
        <w:ind w:left="12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64CD20E">
      <w:start w:val="1"/>
      <w:numFmt w:val="lowerRoman"/>
      <w:lvlText w:val="%3"/>
      <w:lvlJc w:val="left"/>
      <w:pPr>
        <w:ind w:left="19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0F62C66">
      <w:start w:val="1"/>
      <w:numFmt w:val="decimal"/>
      <w:lvlText w:val="%4"/>
      <w:lvlJc w:val="left"/>
      <w:pPr>
        <w:ind w:left="26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114C43A">
      <w:start w:val="1"/>
      <w:numFmt w:val="lowerLetter"/>
      <w:lvlText w:val="%5"/>
      <w:lvlJc w:val="left"/>
      <w:pPr>
        <w:ind w:left="33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C9C20AA">
      <w:start w:val="1"/>
      <w:numFmt w:val="lowerRoman"/>
      <w:lvlText w:val="%6"/>
      <w:lvlJc w:val="left"/>
      <w:pPr>
        <w:ind w:left="40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CC6188C">
      <w:start w:val="1"/>
      <w:numFmt w:val="decimal"/>
      <w:lvlText w:val="%7"/>
      <w:lvlJc w:val="left"/>
      <w:pPr>
        <w:ind w:left="48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52E831A">
      <w:start w:val="1"/>
      <w:numFmt w:val="lowerLetter"/>
      <w:lvlText w:val="%8"/>
      <w:lvlJc w:val="left"/>
      <w:pPr>
        <w:ind w:left="55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26A6F5C">
      <w:start w:val="1"/>
      <w:numFmt w:val="lowerRoman"/>
      <w:lvlText w:val="%9"/>
      <w:lvlJc w:val="left"/>
      <w:pPr>
        <w:ind w:left="62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99E58CD"/>
    <w:multiLevelType w:val="hybridMultilevel"/>
    <w:tmpl w:val="23AAA998"/>
    <w:lvl w:ilvl="0" w:tplc="98C2DB92">
      <w:start w:val="1"/>
      <w:numFmt w:val="lowerLetter"/>
      <w:lvlText w:val="%1."/>
      <w:lvlJc w:val="left"/>
      <w:pPr>
        <w:ind w:left="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8FA81CC">
      <w:start w:val="1"/>
      <w:numFmt w:val="lowerLetter"/>
      <w:lvlText w:val="%2"/>
      <w:lvlJc w:val="left"/>
      <w:pPr>
        <w:ind w:left="12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64CD20E">
      <w:start w:val="1"/>
      <w:numFmt w:val="lowerRoman"/>
      <w:lvlText w:val="%3"/>
      <w:lvlJc w:val="left"/>
      <w:pPr>
        <w:ind w:left="19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0F62C66">
      <w:start w:val="1"/>
      <w:numFmt w:val="decimal"/>
      <w:lvlText w:val="%4"/>
      <w:lvlJc w:val="left"/>
      <w:pPr>
        <w:ind w:left="26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114C43A">
      <w:start w:val="1"/>
      <w:numFmt w:val="lowerLetter"/>
      <w:lvlText w:val="%5"/>
      <w:lvlJc w:val="left"/>
      <w:pPr>
        <w:ind w:left="33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C9C20AA">
      <w:start w:val="1"/>
      <w:numFmt w:val="lowerRoman"/>
      <w:lvlText w:val="%6"/>
      <w:lvlJc w:val="left"/>
      <w:pPr>
        <w:ind w:left="40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CC6188C">
      <w:start w:val="1"/>
      <w:numFmt w:val="decimal"/>
      <w:lvlText w:val="%7"/>
      <w:lvlJc w:val="left"/>
      <w:pPr>
        <w:ind w:left="48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52E831A">
      <w:start w:val="1"/>
      <w:numFmt w:val="lowerLetter"/>
      <w:lvlText w:val="%8"/>
      <w:lvlJc w:val="left"/>
      <w:pPr>
        <w:ind w:left="55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26A6F5C">
      <w:start w:val="1"/>
      <w:numFmt w:val="lowerRoman"/>
      <w:lvlText w:val="%9"/>
      <w:lvlJc w:val="left"/>
      <w:pPr>
        <w:ind w:left="62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48178E7"/>
    <w:multiLevelType w:val="hybridMultilevel"/>
    <w:tmpl w:val="23AAA998"/>
    <w:lvl w:ilvl="0" w:tplc="98C2DB92">
      <w:start w:val="1"/>
      <w:numFmt w:val="lowerLetter"/>
      <w:lvlText w:val="%1."/>
      <w:lvlJc w:val="left"/>
      <w:pPr>
        <w:ind w:left="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8FA81CC">
      <w:start w:val="1"/>
      <w:numFmt w:val="lowerLetter"/>
      <w:lvlText w:val="%2"/>
      <w:lvlJc w:val="left"/>
      <w:pPr>
        <w:ind w:left="12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64CD20E">
      <w:start w:val="1"/>
      <w:numFmt w:val="lowerRoman"/>
      <w:lvlText w:val="%3"/>
      <w:lvlJc w:val="left"/>
      <w:pPr>
        <w:ind w:left="19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0F62C66">
      <w:start w:val="1"/>
      <w:numFmt w:val="decimal"/>
      <w:lvlText w:val="%4"/>
      <w:lvlJc w:val="left"/>
      <w:pPr>
        <w:ind w:left="26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114C43A">
      <w:start w:val="1"/>
      <w:numFmt w:val="lowerLetter"/>
      <w:lvlText w:val="%5"/>
      <w:lvlJc w:val="left"/>
      <w:pPr>
        <w:ind w:left="33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C9C20AA">
      <w:start w:val="1"/>
      <w:numFmt w:val="lowerRoman"/>
      <w:lvlText w:val="%6"/>
      <w:lvlJc w:val="left"/>
      <w:pPr>
        <w:ind w:left="40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CC6188C">
      <w:start w:val="1"/>
      <w:numFmt w:val="decimal"/>
      <w:lvlText w:val="%7"/>
      <w:lvlJc w:val="left"/>
      <w:pPr>
        <w:ind w:left="48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52E831A">
      <w:start w:val="1"/>
      <w:numFmt w:val="lowerLetter"/>
      <w:lvlText w:val="%8"/>
      <w:lvlJc w:val="left"/>
      <w:pPr>
        <w:ind w:left="55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26A6F5C">
      <w:start w:val="1"/>
      <w:numFmt w:val="lowerRoman"/>
      <w:lvlText w:val="%9"/>
      <w:lvlJc w:val="left"/>
      <w:pPr>
        <w:ind w:left="62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426014D6"/>
    <w:multiLevelType w:val="hybridMultilevel"/>
    <w:tmpl w:val="25BAB5BE"/>
    <w:lvl w:ilvl="0" w:tplc="CA18716C">
      <w:start w:val="7"/>
      <w:numFmt w:val="lowerLetter"/>
      <w:lvlText w:val="%1."/>
      <w:lvlJc w:val="left"/>
      <w:pPr>
        <w:ind w:left="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686B2A8">
      <w:start w:val="1"/>
      <w:numFmt w:val="lowerLetter"/>
      <w:lvlText w:val="%2"/>
      <w:lvlJc w:val="left"/>
      <w:pPr>
        <w:ind w:left="11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A2CDD2C">
      <w:start w:val="1"/>
      <w:numFmt w:val="lowerRoman"/>
      <w:lvlText w:val="%3"/>
      <w:lvlJc w:val="left"/>
      <w:pPr>
        <w:ind w:left="19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244F5C8">
      <w:start w:val="1"/>
      <w:numFmt w:val="decimal"/>
      <w:lvlText w:val="%4"/>
      <w:lvlJc w:val="left"/>
      <w:pPr>
        <w:ind w:left="26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47E2586">
      <w:start w:val="1"/>
      <w:numFmt w:val="lowerLetter"/>
      <w:lvlText w:val="%5"/>
      <w:lvlJc w:val="left"/>
      <w:pPr>
        <w:ind w:left="33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31228C4">
      <w:start w:val="1"/>
      <w:numFmt w:val="lowerRoman"/>
      <w:lvlText w:val="%6"/>
      <w:lvlJc w:val="left"/>
      <w:pPr>
        <w:ind w:left="40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BC06EEA">
      <w:start w:val="1"/>
      <w:numFmt w:val="decimal"/>
      <w:lvlText w:val="%7"/>
      <w:lvlJc w:val="left"/>
      <w:pPr>
        <w:ind w:left="47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BF85A42">
      <w:start w:val="1"/>
      <w:numFmt w:val="lowerLetter"/>
      <w:lvlText w:val="%8"/>
      <w:lvlJc w:val="left"/>
      <w:pPr>
        <w:ind w:left="55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5DE77D8">
      <w:start w:val="1"/>
      <w:numFmt w:val="lowerRoman"/>
      <w:lvlText w:val="%9"/>
      <w:lvlJc w:val="left"/>
      <w:pPr>
        <w:ind w:left="62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C5149B0"/>
    <w:multiLevelType w:val="hybridMultilevel"/>
    <w:tmpl w:val="5B86A4A4"/>
    <w:lvl w:ilvl="0" w:tplc="A7C259F0">
      <w:start w:val="1"/>
      <w:numFmt w:val="decimal"/>
      <w:lvlText w:val="(%1)"/>
      <w:lvlJc w:val="left"/>
      <w:pPr>
        <w:ind w:left="5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2B47DF2">
      <w:start w:val="1"/>
      <w:numFmt w:val="lowerLetter"/>
      <w:lvlText w:val="%2"/>
      <w:lvlJc w:val="left"/>
      <w:pPr>
        <w:ind w:left="13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02CB402">
      <w:start w:val="1"/>
      <w:numFmt w:val="lowerRoman"/>
      <w:lvlText w:val="%3"/>
      <w:lvlJc w:val="left"/>
      <w:pPr>
        <w:ind w:left="20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FAC0E70">
      <w:start w:val="1"/>
      <w:numFmt w:val="decimal"/>
      <w:lvlText w:val="%4"/>
      <w:lvlJc w:val="left"/>
      <w:pPr>
        <w:ind w:left="28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7AE1804">
      <w:start w:val="1"/>
      <w:numFmt w:val="lowerLetter"/>
      <w:lvlText w:val="%5"/>
      <w:lvlJc w:val="left"/>
      <w:pPr>
        <w:ind w:left="35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C360544">
      <w:start w:val="1"/>
      <w:numFmt w:val="lowerRoman"/>
      <w:lvlText w:val="%6"/>
      <w:lvlJc w:val="left"/>
      <w:pPr>
        <w:ind w:left="42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9EAD1B2">
      <w:start w:val="1"/>
      <w:numFmt w:val="decimal"/>
      <w:lvlText w:val="%7"/>
      <w:lvlJc w:val="left"/>
      <w:pPr>
        <w:ind w:left="49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3022E82">
      <w:start w:val="1"/>
      <w:numFmt w:val="lowerLetter"/>
      <w:lvlText w:val="%8"/>
      <w:lvlJc w:val="left"/>
      <w:pPr>
        <w:ind w:left="56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1BA6384">
      <w:start w:val="1"/>
      <w:numFmt w:val="lowerRoman"/>
      <w:lvlText w:val="%9"/>
      <w:lvlJc w:val="left"/>
      <w:pPr>
        <w:ind w:left="64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7C47420"/>
    <w:multiLevelType w:val="hybridMultilevel"/>
    <w:tmpl w:val="5B24024A"/>
    <w:lvl w:ilvl="0" w:tplc="458096B0">
      <w:start w:val="1"/>
      <w:numFmt w:val="lowerLetter"/>
      <w:lvlText w:val="%1."/>
      <w:lvlJc w:val="left"/>
      <w:pPr>
        <w:ind w:left="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6D0B8F8">
      <w:start w:val="1"/>
      <w:numFmt w:val="lowerLetter"/>
      <w:lvlText w:val="%2"/>
      <w:lvlJc w:val="left"/>
      <w:pPr>
        <w:ind w:left="11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042ED90">
      <w:start w:val="1"/>
      <w:numFmt w:val="lowerRoman"/>
      <w:lvlText w:val="%3"/>
      <w:lvlJc w:val="left"/>
      <w:pPr>
        <w:ind w:left="19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8D8F4FA">
      <w:start w:val="1"/>
      <w:numFmt w:val="decimal"/>
      <w:lvlText w:val="%4"/>
      <w:lvlJc w:val="left"/>
      <w:pPr>
        <w:ind w:left="26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6F0579A">
      <w:start w:val="1"/>
      <w:numFmt w:val="lowerLetter"/>
      <w:lvlText w:val="%5"/>
      <w:lvlJc w:val="left"/>
      <w:pPr>
        <w:ind w:left="33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16818D0">
      <w:start w:val="1"/>
      <w:numFmt w:val="lowerRoman"/>
      <w:lvlText w:val="%6"/>
      <w:lvlJc w:val="left"/>
      <w:pPr>
        <w:ind w:left="40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87C6736">
      <w:start w:val="1"/>
      <w:numFmt w:val="decimal"/>
      <w:lvlText w:val="%7"/>
      <w:lvlJc w:val="left"/>
      <w:pPr>
        <w:ind w:left="47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4A6AC04">
      <w:start w:val="1"/>
      <w:numFmt w:val="lowerLetter"/>
      <w:lvlText w:val="%8"/>
      <w:lvlJc w:val="left"/>
      <w:pPr>
        <w:ind w:left="55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782C854">
      <w:start w:val="1"/>
      <w:numFmt w:val="lowerRoman"/>
      <w:lvlText w:val="%9"/>
      <w:lvlJc w:val="left"/>
      <w:pPr>
        <w:ind w:left="62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9BE2EA1"/>
    <w:multiLevelType w:val="hybridMultilevel"/>
    <w:tmpl w:val="2C0E8E86"/>
    <w:lvl w:ilvl="0" w:tplc="3350E2A2">
      <w:start w:val="5"/>
      <w:numFmt w:val="decimal"/>
      <w:lvlText w:val="%1."/>
      <w:lvlJc w:val="left"/>
      <w:pPr>
        <w:ind w:left="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F096F0">
      <w:start w:val="1"/>
      <w:numFmt w:val="lowerLetter"/>
      <w:lvlText w:val="%2"/>
      <w:lvlJc w:val="left"/>
      <w:pPr>
        <w:ind w:left="1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EC8B2A">
      <w:start w:val="1"/>
      <w:numFmt w:val="lowerRoman"/>
      <w:lvlText w:val="%3"/>
      <w:lvlJc w:val="left"/>
      <w:pPr>
        <w:ind w:left="1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3AA824">
      <w:start w:val="1"/>
      <w:numFmt w:val="decimal"/>
      <w:lvlText w:val="%4"/>
      <w:lvlJc w:val="left"/>
      <w:pPr>
        <w:ind w:left="2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3CA634">
      <w:start w:val="1"/>
      <w:numFmt w:val="lowerLetter"/>
      <w:lvlText w:val="%5"/>
      <w:lvlJc w:val="left"/>
      <w:pPr>
        <w:ind w:left="3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5C10EE">
      <w:start w:val="1"/>
      <w:numFmt w:val="lowerRoman"/>
      <w:lvlText w:val="%6"/>
      <w:lvlJc w:val="left"/>
      <w:pPr>
        <w:ind w:left="4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C248B0">
      <w:start w:val="1"/>
      <w:numFmt w:val="decimal"/>
      <w:lvlText w:val="%7"/>
      <w:lvlJc w:val="left"/>
      <w:pPr>
        <w:ind w:left="4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86213C">
      <w:start w:val="1"/>
      <w:numFmt w:val="lowerLetter"/>
      <w:lvlText w:val="%8"/>
      <w:lvlJc w:val="left"/>
      <w:pPr>
        <w:ind w:left="5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A61392">
      <w:start w:val="1"/>
      <w:numFmt w:val="lowerRoman"/>
      <w:lvlText w:val="%9"/>
      <w:lvlJc w:val="left"/>
      <w:pPr>
        <w:ind w:left="6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8"/>
  </w:num>
  <w:num w:numId="3">
    <w:abstractNumId w:val="1"/>
  </w:num>
  <w:num w:numId="4">
    <w:abstractNumId w:val="10"/>
  </w:num>
  <w:num w:numId="5">
    <w:abstractNumId w:val="0"/>
  </w:num>
  <w:num w:numId="6">
    <w:abstractNumId w:val="3"/>
  </w:num>
  <w:num w:numId="7">
    <w:abstractNumId w:val="6"/>
  </w:num>
  <w:num w:numId="8">
    <w:abstractNumId w:val="7"/>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88"/>
    <w:rsid w:val="00064E45"/>
    <w:rsid w:val="000F7272"/>
    <w:rsid w:val="001904D5"/>
    <w:rsid w:val="0022186F"/>
    <w:rsid w:val="002F5788"/>
    <w:rsid w:val="003215B0"/>
    <w:rsid w:val="0044172F"/>
    <w:rsid w:val="00446492"/>
    <w:rsid w:val="00491E41"/>
    <w:rsid w:val="004C50C2"/>
    <w:rsid w:val="004D0B8D"/>
    <w:rsid w:val="00591628"/>
    <w:rsid w:val="007610FB"/>
    <w:rsid w:val="00823A7C"/>
    <w:rsid w:val="008F3099"/>
    <w:rsid w:val="00956DF5"/>
    <w:rsid w:val="009E3735"/>
    <w:rsid w:val="009E6A1A"/>
    <w:rsid w:val="00A46C28"/>
    <w:rsid w:val="00A76417"/>
    <w:rsid w:val="00AB0797"/>
    <w:rsid w:val="00AD1728"/>
    <w:rsid w:val="00AE48F4"/>
    <w:rsid w:val="00B05238"/>
    <w:rsid w:val="00B05BFE"/>
    <w:rsid w:val="00CA5038"/>
    <w:rsid w:val="00CF60E6"/>
    <w:rsid w:val="00D16C08"/>
    <w:rsid w:val="00D514A5"/>
    <w:rsid w:val="00DD4398"/>
    <w:rsid w:val="00EE7887"/>
    <w:rsid w:val="00F978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9F00"/>
  <w15:docId w15:val="{8FEFFEF0-1F79-4041-8ED9-5A6515CA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2218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186F"/>
    <w:rPr>
      <w:rFonts w:ascii="Calibri" w:eastAsia="Calibri" w:hAnsi="Calibri" w:cs="Calibri"/>
      <w:color w:val="000000"/>
    </w:rPr>
  </w:style>
  <w:style w:type="paragraph" w:styleId="ListeParagraf">
    <w:name w:val="List Paragraph"/>
    <w:basedOn w:val="Normal"/>
    <w:uiPriority w:val="34"/>
    <w:qFormat/>
    <w:rsid w:val="00591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Dikme</dc:creator>
  <cp:keywords/>
  <cp:lastModifiedBy>Gökhan Kırseven</cp:lastModifiedBy>
  <cp:revision>19</cp:revision>
  <dcterms:created xsi:type="dcterms:W3CDTF">2019-03-14T11:00:00Z</dcterms:created>
  <dcterms:modified xsi:type="dcterms:W3CDTF">2019-08-21T14:04:00Z</dcterms:modified>
</cp:coreProperties>
</file>