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TEKLİF CETVELİ</w:t>
      </w:r>
    </w:p>
    <w:p w:rsidR="00647677" w:rsidRPr="001579B2" w:rsidRDefault="00647677" w:rsidP="00647677">
      <w:pPr>
        <w:jc w:val="both"/>
        <w:rPr>
          <w:rFonts w:ascii="Arial" w:hAnsi="Arial" w:cs="Arial"/>
          <w:b/>
          <w:sz w:val="20"/>
          <w:szCs w:val="20"/>
        </w:rPr>
      </w:pPr>
    </w:p>
    <w:p w:rsidR="00647677" w:rsidRDefault="00BF68F4" w:rsidP="00647677">
      <w:pPr>
        <w:rPr>
          <w:rFonts w:ascii="Arial" w:hAnsi="Arial" w:cs="Arial"/>
          <w:sz w:val="20"/>
          <w:szCs w:val="20"/>
        </w:rPr>
      </w:pPr>
      <w:r w:rsidRPr="00BF68F4">
        <w:rPr>
          <w:rFonts w:ascii="Arial" w:hAnsi="Arial" w:cs="Arial"/>
          <w:b/>
          <w:sz w:val="20"/>
          <w:szCs w:val="20"/>
        </w:rPr>
        <w:t>Referans No</w:t>
      </w:r>
      <w:r w:rsidR="00CC139D">
        <w:rPr>
          <w:rFonts w:ascii="Arial" w:hAnsi="Arial" w:cs="Arial"/>
          <w:sz w:val="20"/>
          <w:szCs w:val="20"/>
        </w:rPr>
        <w:t>:10064772</w:t>
      </w:r>
    </w:p>
    <w:p w:rsidR="00BF68F4" w:rsidRPr="00D2795C" w:rsidRDefault="00BF68F4" w:rsidP="00647677">
      <w:pPr>
        <w:rPr>
          <w:rFonts w:ascii="Arial" w:hAnsi="Arial" w:cs="Arial"/>
          <w:sz w:val="20"/>
          <w:szCs w:val="20"/>
        </w:rPr>
      </w:pPr>
    </w:p>
    <w:p w:rsidR="00B72C48" w:rsidRDefault="00B72C48" w:rsidP="00B72C48">
      <w:pPr>
        <w:rPr>
          <w:rFonts w:ascii="Arial" w:hAnsi="Arial" w:cs="Arial"/>
          <w:sz w:val="20"/>
          <w:szCs w:val="20"/>
        </w:rPr>
      </w:pPr>
    </w:p>
    <w:tbl>
      <w:tblPr>
        <w:tblW w:w="5273" w:type="pct"/>
        <w:tblLook w:val="04A0" w:firstRow="1" w:lastRow="0" w:firstColumn="1" w:lastColumn="0" w:noHBand="0" w:noVBand="1"/>
      </w:tblPr>
      <w:tblGrid>
        <w:gridCol w:w="4389"/>
        <w:gridCol w:w="2186"/>
        <w:gridCol w:w="2971"/>
      </w:tblGrid>
      <w:tr w:rsidR="00B72C48" w:rsidRPr="00C20987" w:rsidTr="00C36986">
        <w:trPr>
          <w:trHeight w:val="510"/>
        </w:trPr>
        <w:tc>
          <w:tcPr>
            <w:tcW w:w="2299" w:type="pct"/>
            <w:tcBorders>
              <w:top w:val="single" w:sz="8" w:space="0" w:color="auto"/>
              <w:left w:val="single" w:sz="8" w:space="0" w:color="auto"/>
              <w:bottom w:val="single" w:sz="8" w:space="0" w:color="auto"/>
              <w:right w:val="single" w:sz="8" w:space="0" w:color="auto"/>
            </w:tcBorders>
            <w:shd w:val="clear" w:color="000000" w:fill="E7E6E6"/>
            <w:vAlign w:val="center"/>
            <w:hideMark/>
          </w:tcPr>
          <w:p w:rsidR="00B72C48" w:rsidRPr="00C20987" w:rsidRDefault="00B72C48" w:rsidP="00C36986">
            <w:pPr>
              <w:widowControl/>
              <w:suppressAutoHyphens w:val="0"/>
              <w:jc w:val="both"/>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eastAsia="en-GB" w:bidi="ar-SA"/>
              </w:rPr>
              <w:t>İş Kaleminin Adı ve Kısa Açıklaması</w:t>
            </w:r>
          </w:p>
        </w:tc>
        <w:tc>
          <w:tcPr>
            <w:tcW w:w="1145" w:type="pct"/>
            <w:tcBorders>
              <w:top w:val="single" w:sz="8" w:space="0" w:color="auto"/>
              <w:left w:val="nil"/>
              <w:bottom w:val="single" w:sz="8" w:space="0" w:color="auto"/>
              <w:right w:val="single" w:sz="8" w:space="0" w:color="auto"/>
            </w:tcBorders>
            <w:shd w:val="clear" w:color="000000" w:fill="E7E6E6"/>
            <w:vAlign w:val="center"/>
            <w:hideMark/>
          </w:tcPr>
          <w:p w:rsidR="00B72C48" w:rsidRPr="00C20987" w:rsidRDefault="00B72C48" w:rsidP="00C36986">
            <w:pPr>
              <w:widowControl/>
              <w:suppressAutoHyphens w:val="0"/>
              <w:jc w:val="center"/>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eastAsia="en-GB" w:bidi="ar-SA"/>
              </w:rPr>
              <w:t>Birimi</w:t>
            </w:r>
          </w:p>
        </w:tc>
        <w:tc>
          <w:tcPr>
            <w:tcW w:w="1556" w:type="pct"/>
            <w:tcBorders>
              <w:top w:val="single" w:sz="8" w:space="0" w:color="auto"/>
              <w:left w:val="nil"/>
              <w:bottom w:val="single" w:sz="8" w:space="0" w:color="auto"/>
              <w:right w:val="single" w:sz="8" w:space="0" w:color="auto"/>
            </w:tcBorders>
            <w:shd w:val="clear" w:color="000000" w:fill="E7E6E6"/>
            <w:vAlign w:val="center"/>
            <w:hideMark/>
          </w:tcPr>
          <w:p w:rsidR="00B72C48" w:rsidRPr="00C20987" w:rsidRDefault="00B72C48" w:rsidP="00C36986">
            <w:pPr>
              <w:widowControl/>
              <w:suppressAutoHyphens w:val="0"/>
              <w:jc w:val="both"/>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eastAsia="en-GB" w:bidi="ar-SA"/>
              </w:rPr>
              <w:t>Lisans Yenileme Miktarı</w:t>
            </w:r>
          </w:p>
        </w:tc>
      </w:tr>
      <w:tr w:rsidR="00B72C48" w:rsidRPr="00C20987" w:rsidTr="00C36986">
        <w:trPr>
          <w:trHeight w:val="47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Professional User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43</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Developer User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 xml:space="preserve">Adet </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4</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Application Ltd. Prof. User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60</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Employee User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3</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ERP Component for ERP Package</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Solution Manager Enterprise Edition</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CRM for midsize companies</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Sales and Service Order Processing</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B72C48">
              <w:rPr>
                <w:rFonts w:ascii="Arial" w:eastAsia="Times New Roman" w:hAnsi="Arial" w:cs="Arial"/>
                <w:color w:val="000000"/>
                <w:sz w:val="20"/>
                <w:szCs w:val="20"/>
                <w:lang w:eastAsia="en-GB" w:bidi="ar-SA"/>
              </w:rPr>
              <w:t>100</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Educational Services for HER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15404</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BusObj BI package (USR)</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20</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Payroll Processing </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2</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BA&amp;T SAP Plan.,l. f. bus plan only S</w:t>
            </w:r>
            <w:bookmarkStart w:id="0" w:name="_GoBack"/>
            <w:bookmarkEnd w:id="0"/>
            <w:r w:rsidRPr="00C20987">
              <w:rPr>
                <w:rFonts w:ascii="Calibri" w:eastAsia="Times New Roman" w:hAnsi="Calibri" w:cs="Calibri"/>
                <w:color w:val="000000"/>
                <w:sz w:val="22"/>
                <w:szCs w:val="22"/>
                <w:lang w:val="en-US" w:eastAsia="en-GB" w:bidi="ar-SA"/>
              </w:rPr>
              <w:t>APNW  </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30</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ERP_PACKASAP ERP Foundation Starter  </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HANA, RT ed Applic &amp; BW- new/subsq</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HANA, RT ed Applic &amp; BW- inst base</w:t>
            </w:r>
          </w:p>
        </w:tc>
        <w:tc>
          <w:tcPr>
            <w:tcW w:w="1145"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Adet</w:t>
            </w:r>
          </w:p>
        </w:tc>
        <w:tc>
          <w:tcPr>
            <w:tcW w:w="1556"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1</w:t>
            </w:r>
          </w:p>
        </w:tc>
      </w:tr>
      <w:tr w:rsidR="00B72C48" w:rsidRPr="00C20987" w:rsidTr="00C36986">
        <w:trPr>
          <w:trHeight w:val="300"/>
        </w:trPr>
        <w:tc>
          <w:tcPr>
            <w:tcW w:w="2299" w:type="pct"/>
            <w:tcBorders>
              <w:top w:val="nil"/>
              <w:left w:val="single" w:sz="8" w:space="0" w:color="auto"/>
              <w:bottom w:val="single" w:sz="8" w:space="0" w:color="auto"/>
              <w:right w:val="nil"/>
            </w:tcBorders>
            <w:shd w:val="clear" w:color="auto" w:fill="auto"/>
            <w:vAlign w:val="center"/>
            <w:hideMark/>
          </w:tcPr>
          <w:p w:rsidR="00B72C48" w:rsidRPr="00C20987" w:rsidRDefault="00B72C48" w:rsidP="00C36986">
            <w:pPr>
              <w:widowControl/>
              <w:suppressAutoHyphens w:val="0"/>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TOPLAM TUTAR  (K.D.V Hariç) (Yazıyla)</w:t>
            </w:r>
          </w:p>
        </w:tc>
        <w:tc>
          <w:tcPr>
            <w:tcW w:w="270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 </w:t>
            </w:r>
          </w:p>
        </w:tc>
      </w:tr>
      <w:tr w:rsidR="00B72C48" w:rsidRPr="00C20987" w:rsidTr="00C36986">
        <w:trPr>
          <w:trHeight w:val="300"/>
        </w:trPr>
        <w:tc>
          <w:tcPr>
            <w:tcW w:w="2299" w:type="pct"/>
            <w:tcBorders>
              <w:top w:val="nil"/>
              <w:left w:val="single" w:sz="8" w:space="0" w:color="auto"/>
              <w:bottom w:val="single" w:sz="8" w:space="0" w:color="auto"/>
              <w:right w:val="nil"/>
            </w:tcBorders>
            <w:shd w:val="clear" w:color="auto" w:fill="auto"/>
            <w:vAlign w:val="center"/>
            <w:hideMark/>
          </w:tcPr>
          <w:p w:rsidR="00B72C48" w:rsidRPr="00C20987" w:rsidRDefault="00B72C48" w:rsidP="00C36986">
            <w:pPr>
              <w:widowControl/>
              <w:suppressAutoHyphens w:val="0"/>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TOPLAM TUTAR  (K.D.V Hariç) (Rakamla)</w:t>
            </w:r>
          </w:p>
        </w:tc>
        <w:tc>
          <w:tcPr>
            <w:tcW w:w="270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 </w:t>
            </w:r>
          </w:p>
        </w:tc>
      </w:tr>
    </w:tbl>
    <w:p w:rsidR="00B72C48" w:rsidRDefault="00B72C48" w:rsidP="00B72C48">
      <w:pPr>
        <w:jc w:val="both"/>
        <w:rPr>
          <w:rFonts w:ascii="Arial" w:hAnsi="Arial" w:cs="Arial"/>
          <w:sz w:val="20"/>
          <w:szCs w:val="20"/>
        </w:rPr>
      </w:pPr>
    </w:p>
    <w:p w:rsidR="00B72C48" w:rsidRDefault="00B72C48" w:rsidP="00B72C48">
      <w:pPr>
        <w:jc w:val="both"/>
        <w:rPr>
          <w:rFonts w:ascii="Arial" w:hAnsi="Arial" w:cs="Arial"/>
          <w:sz w:val="20"/>
          <w:szCs w:val="20"/>
        </w:rPr>
      </w:pPr>
    </w:p>
    <w:tbl>
      <w:tblPr>
        <w:tblW w:w="5247" w:type="pct"/>
        <w:tblLook w:val="04A0" w:firstRow="1" w:lastRow="0" w:firstColumn="1" w:lastColumn="0" w:noHBand="0" w:noVBand="1"/>
      </w:tblPr>
      <w:tblGrid>
        <w:gridCol w:w="4389"/>
        <w:gridCol w:w="2209"/>
        <w:gridCol w:w="2901"/>
      </w:tblGrid>
      <w:tr w:rsidR="00B72C48" w:rsidRPr="00C20987" w:rsidTr="00C36986">
        <w:trPr>
          <w:trHeight w:val="300"/>
        </w:trPr>
        <w:tc>
          <w:tcPr>
            <w:tcW w:w="2310" w:type="pct"/>
            <w:tcBorders>
              <w:top w:val="single" w:sz="8" w:space="0" w:color="auto"/>
              <w:left w:val="single" w:sz="8" w:space="0" w:color="auto"/>
              <w:bottom w:val="single" w:sz="8" w:space="0" w:color="auto"/>
              <w:right w:val="single" w:sz="8" w:space="0" w:color="auto"/>
            </w:tcBorders>
            <w:shd w:val="clear" w:color="000000" w:fill="E7E6E6"/>
            <w:vAlign w:val="center"/>
            <w:hideMark/>
          </w:tcPr>
          <w:p w:rsidR="00B72C48" w:rsidRPr="00C20987" w:rsidRDefault="00B72C48" w:rsidP="00C36986">
            <w:pPr>
              <w:widowControl/>
              <w:suppressAutoHyphens w:val="0"/>
              <w:jc w:val="both"/>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val="en-US" w:eastAsia="en-GB" w:bidi="ar-SA"/>
              </w:rPr>
              <w:t>Lisans Açıklaması</w:t>
            </w:r>
          </w:p>
        </w:tc>
        <w:tc>
          <w:tcPr>
            <w:tcW w:w="1163" w:type="pct"/>
            <w:tcBorders>
              <w:top w:val="single" w:sz="8" w:space="0" w:color="auto"/>
              <w:left w:val="nil"/>
              <w:bottom w:val="single" w:sz="8" w:space="0" w:color="auto"/>
              <w:right w:val="single" w:sz="8" w:space="0" w:color="auto"/>
            </w:tcBorders>
            <w:shd w:val="clear" w:color="000000" w:fill="E7E6E6"/>
            <w:vAlign w:val="center"/>
            <w:hideMark/>
          </w:tcPr>
          <w:p w:rsidR="00B72C48" w:rsidRPr="00C20987" w:rsidRDefault="00B72C48" w:rsidP="00C36986">
            <w:pPr>
              <w:widowControl/>
              <w:suppressAutoHyphens w:val="0"/>
              <w:jc w:val="center"/>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eastAsia="en-GB" w:bidi="ar-SA"/>
              </w:rPr>
              <w:t>Birimi</w:t>
            </w:r>
          </w:p>
        </w:tc>
        <w:tc>
          <w:tcPr>
            <w:tcW w:w="1527" w:type="pct"/>
            <w:tcBorders>
              <w:top w:val="single" w:sz="8" w:space="0" w:color="auto"/>
              <w:left w:val="nil"/>
              <w:bottom w:val="nil"/>
              <w:right w:val="single" w:sz="8" w:space="0" w:color="auto"/>
            </w:tcBorders>
            <w:shd w:val="clear" w:color="000000" w:fill="E7E6E6"/>
            <w:vAlign w:val="center"/>
            <w:hideMark/>
          </w:tcPr>
          <w:p w:rsidR="00B72C48" w:rsidRPr="00C20987" w:rsidRDefault="00B72C48" w:rsidP="00C36986">
            <w:pPr>
              <w:widowControl/>
              <w:suppressAutoHyphens w:val="0"/>
              <w:jc w:val="center"/>
              <w:rPr>
                <w:rFonts w:ascii="Calibri" w:eastAsia="Times New Roman" w:hAnsi="Calibri" w:cs="Calibri"/>
                <w:b/>
                <w:bCs/>
                <w:color w:val="000000"/>
                <w:sz w:val="22"/>
                <w:szCs w:val="22"/>
                <w:lang w:val="en-GB" w:eastAsia="en-GB" w:bidi="ar-SA"/>
              </w:rPr>
            </w:pPr>
            <w:r w:rsidRPr="00C20987">
              <w:rPr>
                <w:rFonts w:ascii="Calibri" w:eastAsia="Times New Roman" w:hAnsi="Calibri" w:cs="Calibri"/>
                <w:b/>
                <w:bCs/>
                <w:color w:val="000000"/>
                <w:sz w:val="22"/>
                <w:szCs w:val="22"/>
                <w:lang w:val="en-US" w:eastAsia="en-GB" w:bidi="ar-SA"/>
              </w:rPr>
              <w:t>Yeni Alımı Yapılacak Ek Lisanslar</w:t>
            </w:r>
          </w:p>
        </w:tc>
      </w:tr>
      <w:tr w:rsidR="00B72C48" w:rsidRPr="00C20987" w:rsidTr="00C36986">
        <w:trPr>
          <w:trHeight w:val="300"/>
        </w:trPr>
        <w:tc>
          <w:tcPr>
            <w:tcW w:w="2310"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Professional User</w:t>
            </w:r>
          </w:p>
        </w:tc>
        <w:tc>
          <w:tcPr>
            <w:tcW w:w="1163"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val="en-GB" w:eastAsia="en-GB" w:bidi="ar-SA"/>
              </w:rPr>
              <w:t>Adet</w:t>
            </w:r>
          </w:p>
        </w:tc>
        <w:tc>
          <w:tcPr>
            <w:tcW w:w="1527" w:type="pct"/>
            <w:tcBorders>
              <w:top w:val="single" w:sz="8" w:space="0" w:color="auto"/>
              <w:left w:val="nil"/>
              <w:bottom w:val="single" w:sz="8" w:space="0" w:color="auto"/>
              <w:right w:val="single" w:sz="8" w:space="0" w:color="auto"/>
            </w:tcBorders>
            <w:shd w:val="clear" w:color="auto" w:fill="auto"/>
            <w:vAlign w:val="center"/>
            <w:hideMark/>
          </w:tcPr>
          <w:p w:rsidR="00B72C48" w:rsidRPr="00B72C48" w:rsidRDefault="00B72C48" w:rsidP="00C36986">
            <w:pPr>
              <w:widowControl/>
              <w:suppressAutoHyphens w:val="0"/>
              <w:jc w:val="center"/>
              <w:rPr>
                <w:rFonts w:ascii="Calibri" w:eastAsia="Times New Roman" w:hAnsi="Calibri" w:cs="Calibri"/>
                <w:bCs/>
                <w:color w:val="000000"/>
                <w:sz w:val="22"/>
                <w:szCs w:val="22"/>
                <w:lang w:val="en-GB" w:eastAsia="en-GB" w:bidi="ar-SA"/>
              </w:rPr>
            </w:pPr>
            <w:r w:rsidRPr="00B72C48">
              <w:rPr>
                <w:rFonts w:ascii="Calibri" w:eastAsia="Times New Roman" w:hAnsi="Calibri" w:cs="Calibri"/>
                <w:bCs/>
                <w:color w:val="000000"/>
                <w:sz w:val="22"/>
                <w:szCs w:val="22"/>
                <w:lang w:eastAsia="en-GB" w:bidi="ar-SA"/>
              </w:rPr>
              <w:t>7</w:t>
            </w:r>
          </w:p>
        </w:tc>
      </w:tr>
      <w:tr w:rsidR="00B72C48" w:rsidRPr="00C20987" w:rsidTr="00C36986">
        <w:trPr>
          <w:trHeight w:val="300"/>
        </w:trPr>
        <w:tc>
          <w:tcPr>
            <w:tcW w:w="2310" w:type="pct"/>
            <w:tcBorders>
              <w:top w:val="nil"/>
              <w:left w:val="single" w:sz="8" w:space="0" w:color="auto"/>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US" w:eastAsia="en-GB" w:bidi="ar-SA"/>
              </w:rPr>
              <w:t>SAP BusObj BI package (USR)</w:t>
            </w:r>
          </w:p>
        </w:tc>
        <w:tc>
          <w:tcPr>
            <w:tcW w:w="1163"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val="en-GB" w:eastAsia="en-GB" w:bidi="ar-SA"/>
              </w:rPr>
              <w:t>Adet</w:t>
            </w:r>
          </w:p>
        </w:tc>
        <w:tc>
          <w:tcPr>
            <w:tcW w:w="1527" w:type="pct"/>
            <w:tcBorders>
              <w:top w:val="nil"/>
              <w:left w:val="nil"/>
              <w:bottom w:val="single" w:sz="8" w:space="0" w:color="auto"/>
              <w:right w:val="single" w:sz="8" w:space="0" w:color="auto"/>
            </w:tcBorders>
            <w:shd w:val="clear" w:color="auto" w:fill="auto"/>
            <w:vAlign w:val="center"/>
            <w:hideMark/>
          </w:tcPr>
          <w:p w:rsidR="00B72C48" w:rsidRPr="00B72C48" w:rsidRDefault="00B72C48" w:rsidP="00C36986">
            <w:pPr>
              <w:widowControl/>
              <w:suppressAutoHyphens w:val="0"/>
              <w:jc w:val="center"/>
              <w:rPr>
                <w:rFonts w:ascii="Calibri" w:eastAsia="Times New Roman" w:hAnsi="Calibri" w:cs="Calibri"/>
                <w:bCs/>
                <w:color w:val="000000"/>
                <w:sz w:val="22"/>
                <w:szCs w:val="22"/>
                <w:lang w:val="en-GB" w:eastAsia="en-GB" w:bidi="ar-SA"/>
              </w:rPr>
            </w:pPr>
            <w:r w:rsidRPr="00B72C48">
              <w:rPr>
                <w:rFonts w:ascii="Calibri" w:eastAsia="Times New Roman" w:hAnsi="Calibri" w:cs="Calibri"/>
                <w:bCs/>
                <w:color w:val="000000"/>
                <w:sz w:val="22"/>
                <w:szCs w:val="22"/>
                <w:lang w:eastAsia="en-GB" w:bidi="ar-SA"/>
              </w:rPr>
              <w:t>10</w:t>
            </w:r>
          </w:p>
        </w:tc>
      </w:tr>
      <w:tr w:rsidR="00B72C48" w:rsidRPr="00C20987" w:rsidTr="00C36986">
        <w:trPr>
          <w:trHeight w:val="300"/>
        </w:trPr>
        <w:tc>
          <w:tcPr>
            <w:tcW w:w="2310" w:type="pct"/>
            <w:tcBorders>
              <w:top w:val="nil"/>
              <w:left w:val="single" w:sz="8" w:space="0" w:color="auto"/>
              <w:bottom w:val="single" w:sz="8" w:space="0" w:color="auto"/>
              <w:right w:val="single" w:sz="8" w:space="0" w:color="auto"/>
            </w:tcBorders>
            <w:shd w:val="clear" w:color="000000" w:fill="FFFFFF"/>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eastAsia="en-GB" w:bidi="ar-SA"/>
              </w:rPr>
              <w:t xml:space="preserve">SAP Payroll Processing  </w:t>
            </w:r>
          </w:p>
        </w:tc>
        <w:tc>
          <w:tcPr>
            <w:tcW w:w="1163"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val="en-GB" w:eastAsia="en-GB" w:bidi="ar-SA"/>
              </w:rPr>
              <w:t>Adet</w:t>
            </w:r>
          </w:p>
        </w:tc>
        <w:tc>
          <w:tcPr>
            <w:tcW w:w="1527" w:type="pct"/>
            <w:tcBorders>
              <w:top w:val="nil"/>
              <w:left w:val="nil"/>
              <w:bottom w:val="single" w:sz="8" w:space="0" w:color="auto"/>
              <w:right w:val="single" w:sz="8" w:space="0" w:color="auto"/>
            </w:tcBorders>
            <w:shd w:val="clear" w:color="000000" w:fill="FFFFFF"/>
            <w:vAlign w:val="center"/>
            <w:hideMark/>
          </w:tcPr>
          <w:p w:rsidR="00B72C48" w:rsidRPr="00C20987" w:rsidRDefault="00B72C48" w:rsidP="00C36986">
            <w:pPr>
              <w:widowControl/>
              <w:suppressAutoHyphens w:val="0"/>
              <w:jc w:val="center"/>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eastAsia="en-GB" w:bidi="ar-SA"/>
              </w:rPr>
              <w:t>1</w:t>
            </w:r>
          </w:p>
        </w:tc>
      </w:tr>
      <w:tr w:rsidR="00B72C48" w:rsidRPr="00C20987" w:rsidTr="00C36986">
        <w:trPr>
          <w:trHeight w:val="300"/>
        </w:trPr>
        <w:tc>
          <w:tcPr>
            <w:tcW w:w="2310" w:type="pct"/>
            <w:tcBorders>
              <w:top w:val="nil"/>
              <w:left w:val="single" w:sz="8" w:space="0" w:color="auto"/>
              <w:bottom w:val="single" w:sz="8" w:space="0" w:color="auto"/>
              <w:right w:val="single" w:sz="8" w:space="0" w:color="auto"/>
            </w:tcBorders>
            <w:shd w:val="clear" w:color="000000" w:fill="FFFFFF"/>
            <w:vAlign w:val="center"/>
            <w:hideMark/>
          </w:tcPr>
          <w:p w:rsidR="00B72C48" w:rsidRPr="00C20987" w:rsidRDefault="00B72C48" w:rsidP="00C36986">
            <w:pPr>
              <w:widowControl/>
              <w:suppressAutoHyphens w:val="0"/>
              <w:jc w:val="both"/>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GB" w:eastAsia="en-GB" w:bidi="ar-SA"/>
              </w:rPr>
              <w:t>Database HANA</w:t>
            </w:r>
          </w:p>
        </w:tc>
        <w:tc>
          <w:tcPr>
            <w:tcW w:w="1163" w:type="pct"/>
            <w:tcBorders>
              <w:top w:val="nil"/>
              <w:left w:val="nil"/>
              <w:bottom w:val="single" w:sz="8" w:space="0" w:color="auto"/>
              <w:right w:val="single" w:sz="8" w:space="0" w:color="auto"/>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val="en-GB" w:eastAsia="en-GB" w:bidi="ar-SA"/>
              </w:rPr>
              <w:t>Adet</w:t>
            </w:r>
          </w:p>
        </w:tc>
        <w:tc>
          <w:tcPr>
            <w:tcW w:w="1527" w:type="pct"/>
            <w:tcBorders>
              <w:top w:val="nil"/>
              <w:left w:val="nil"/>
              <w:bottom w:val="single" w:sz="8" w:space="0" w:color="auto"/>
              <w:right w:val="single" w:sz="8" w:space="0" w:color="auto"/>
            </w:tcBorders>
            <w:shd w:val="clear" w:color="000000" w:fill="FFFFFF"/>
            <w:vAlign w:val="center"/>
            <w:hideMark/>
          </w:tcPr>
          <w:p w:rsidR="00B72C48" w:rsidRPr="00C20987" w:rsidRDefault="00B72C48" w:rsidP="00C36986">
            <w:pPr>
              <w:widowControl/>
              <w:suppressAutoHyphens w:val="0"/>
              <w:jc w:val="center"/>
              <w:rPr>
                <w:rFonts w:ascii="Calibri" w:eastAsia="Times New Roman" w:hAnsi="Calibri" w:cs="Calibri"/>
                <w:color w:val="000000"/>
                <w:sz w:val="22"/>
                <w:szCs w:val="22"/>
                <w:lang w:val="en-GB" w:eastAsia="en-GB" w:bidi="ar-SA"/>
              </w:rPr>
            </w:pPr>
            <w:r w:rsidRPr="00C20987">
              <w:rPr>
                <w:rFonts w:ascii="Calibri" w:eastAsia="Times New Roman" w:hAnsi="Calibri" w:cs="Calibri"/>
                <w:color w:val="000000"/>
                <w:sz w:val="22"/>
                <w:szCs w:val="22"/>
                <w:lang w:val="en-GB" w:eastAsia="en-GB" w:bidi="ar-SA"/>
              </w:rPr>
              <w:t>1</w:t>
            </w:r>
          </w:p>
        </w:tc>
      </w:tr>
      <w:tr w:rsidR="00B72C48" w:rsidRPr="00C20987" w:rsidTr="00C36986">
        <w:trPr>
          <w:trHeight w:val="300"/>
        </w:trPr>
        <w:tc>
          <w:tcPr>
            <w:tcW w:w="2310" w:type="pct"/>
            <w:tcBorders>
              <w:top w:val="nil"/>
              <w:left w:val="single" w:sz="8" w:space="0" w:color="auto"/>
              <w:bottom w:val="single" w:sz="8" w:space="0" w:color="auto"/>
              <w:right w:val="nil"/>
            </w:tcBorders>
            <w:shd w:val="clear" w:color="auto" w:fill="auto"/>
            <w:vAlign w:val="center"/>
            <w:hideMark/>
          </w:tcPr>
          <w:p w:rsidR="00B72C48" w:rsidRPr="00C20987" w:rsidRDefault="00B72C48" w:rsidP="00C36986">
            <w:pPr>
              <w:widowControl/>
              <w:suppressAutoHyphens w:val="0"/>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TOPLAM TUTAR  (K.D.V Hariç) (Yazıyla)</w:t>
            </w:r>
          </w:p>
        </w:tc>
        <w:tc>
          <w:tcPr>
            <w:tcW w:w="26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 </w:t>
            </w:r>
          </w:p>
        </w:tc>
      </w:tr>
      <w:tr w:rsidR="00B72C48" w:rsidRPr="00C20987" w:rsidTr="00C36986">
        <w:trPr>
          <w:trHeight w:val="300"/>
        </w:trPr>
        <w:tc>
          <w:tcPr>
            <w:tcW w:w="2310" w:type="pct"/>
            <w:tcBorders>
              <w:top w:val="nil"/>
              <w:left w:val="single" w:sz="8" w:space="0" w:color="auto"/>
              <w:bottom w:val="single" w:sz="8" w:space="0" w:color="auto"/>
              <w:right w:val="nil"/>
            </w:tcBorders>
            <w:shd w:val="clear" w:color="auto" w:fill="auto"/>
            <w:vAlign w:val="center"/>
            <w:hideMark/>
          </w:tcPr>
          <w:p w:rsidR="00B72C48" w:rsidRPr="00C20987" w:rsidRDefault="00B72C48" w:rsidP="00C36986">
            <w:pPr>
              <w:widowControl/>
              <w:suppressAutoHyphens w:val="0"/>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TOPLAM TUTAR  (K.D.V Hariç) (Rakamla)</w:t>
            </w:r>
          </w:p>
        </w:tc>
        <w:tc>
          <w:tcPr>
            <w:tcW w:w="26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C48" w:rsidRPr="00C20987" w:rsidRDefault="00B72C48" w:rsidP="00C36986">
            <w:pPr>
              <w:widowControl/>
              <w:suppressAutoHyphens w:val="0"/>
              <w:jc w:val="center"/>
              <w:rPr>
                <w:rFonts w:ascii="Arial" w:eastAsia="Times New Roman" w:hAnsi="Arial" w:cs="Arial"/>
                <w:color w:val="000000"/>
                <w:sz w:val="20"/>
                <w:szCs w:val="20"/>
                <w:lang w:val="en-GB" w:eastAsia="en-GB" w:bidi="ar-SA"/>
              </w:rPr>
            </w:pPr>
            <w:r w:rsidRPr="00C20987">
              <w:rPr>
                <w:rFonts w:ascii="Arial" w:eastAsia="Times New Roman" w:hAnsi="Arial" w:cs="Arial"/>
                <w:color w:val="000000"/>
                <w:sz w:val="20"/>
                <w:szCs w:val="20"/>
                <w:lang w:eastAsia="en-GB" w:bidi="ar-SA"/>
              </w:rPr>
              <w:t> </w:t>
            </w:r>
          </w:p>
        </w:tc>
      </w:tr>
    </w:tbl>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w:t>
      </w:r>
      <w:r w:rsidR="00066111">
        <w:rPr>
          <w:rFonts w:ascii="Arial" w:hAnsi="Arial" w:cs="Arial"/>
          <w:sz w:val="20"/>
          <w:szCs w:val="20"/>
        </w:rPr>
        <w:t xml:space="preserve"> </w:t>
      </w:r>
      <w:r w:rsidRPr="00D2795C">
        <w:rPr>
          <w:rFonts w:ascii="Arial" w:hAnsi="Arial" w:cs="Arial"/>
          <w:sz w:val="20"/>
          <w:szCs w:val="20"/>
        </w:rPr>
        <w:t>/</w:t>
      </w:r>
      <w:r w:rsidR="00066111">
        <w:rPr>
          <w:rFonts w:ascii="Arial" w:hAnsi="Arial" w:cs="Arial"/>
          <w:sz w:val="20"/>
          <w:szCs w:val="20"/>
        </w:rPr>
        <w:t xml:space="preserve"> </w:t>
      </w:r>
      <w:r w:rsidRPr="00D2795C">
        <w:rPr>
          <w:rFonts w:ascii="Arial" w:hAnsi="Arial" w:cs="Arial"/>
          <w:sz w:val="20"/>
          <w:szCs w:val="20"/>
        </w:rPr>
        <w:t>Ticaret Unvanı</w:t>
      </w:r>
    </w:p>
    <w:p w:rsidR="00647677" w:rsidRPr="00D2795C" w:rsidRDefault="00647677" w:rsidP="00647677">
      <w:pPr>
        <w:jc w:val="both"/>
        <w:rPr>
          <w:rFonts w:ascii="Arial" w:hAnsi="Arial" w:cs="Arial"/>
          <w:b/>
          <w:sz w:val="20"/>
          <w:szCs w:val="20"/>
        </w:rPr>
      </w:pPr>
    </w:p>
    <w:p w:rsidR="00066111" w:rsidRDefault="00066111" w:rsidP="00CC139D">
      <w:pPr>
        <w:ind w:left="6372"/>
        <w:rPr>
          <w:rFonts w:ascii="Arial" w:hAnsi="Arial" w:cs="Arial"/>
          <w:sz w:val="20"/>
          <w:szCs w:val="20"/>
        </w:rPr>
      </w:pPr>
      <w:r w:rsidRPr="00066111">
        <w:rPr>
          <w:rFonts w:ascii="Arial" w:hAnsi="Arial" w:cs="Arial"/>
          <w:sz w:val="20"/>
          <w:szCs w:val="20"/>
        </w:rPr>
        <w:t>Kaşe ve İmza</w:t>
      </w:r>
    </w:p>
    <w:p w:rsidR="00066111" w:rsidRDefault="00066111" w:rsidP="00066111">
      <w:pPr>
        <w:ind w:left="6372"/>
        <w:rPr>
          <w:rFonts w:ascii="Arial" w:hAnsi="Arial" w:cs="Arial"/>
          <w:sz w:val="20"/>
          <w:szCs w:val="20"/>
        </w:rPr>
      </w:pPr>
    </w:p>
    <w:p w:rsidR="00CC139D" w:rsidRDefault="00CC139D" w:rsidP="00066111">
      <w:pPr>
        <w:ind w:left="6372"/>
        <w:rPr>
          <w:rFonts w:ascii="Arial" w:hAnsi="Arial" w:cs="Arial"/>
          <w:sz w:val="20"/>
          <w:szCs w:val="20"/>
        </w:rPr>
      </w:pPr>
    </w:p>
    <w:p w:rsidR="00CC139D" w:rsidRDefault="00CC139D" w:rsidP="00066111">
      <w:pPr>
        <w:ind w:left="6372"/>
        <w:rPr>
          <w:rFonts w:ascii="Arial" w:hAnsi="Arial" w:cs="Arial"/>
          <w:sz w:val="20"/>
          <w:szCs w:val="20"/>
        </w:rPr>
      </w:pPr>
    </w:p>
    <w:p w:rsidR="00066111" w:rsidRDefault="00066111" w:rsidP="00CC139D">
      <w:pPr>
        <w:rPr>
          <w:rFonts w:ascii="Arial" w:hAnsi="Arial" w:cs="Arial"/>
          <w:sz w:val="22"/>
          <w:szCs w:val="22"/>
        </w:rPr>
      </w:pPr>
    </w:p>
    <w:p w:rsidR="00CC139D" w:rsidRPr="00D05C76" w:rsidRDefault="00CC139D" w:rsidP="00CC139D">
      <w:pPr>
        <w:rPr>
          <w:rFonts w:ascii="Arial" w:hAnsi="Arial" w:cs="Arial"/>
          <w:sz w:val="22"/>
          <w:szCs w:val="22"/>
        </w:rPr>
      </w:pPr>
    </w:p>
    <w:p w:rsidR="00066111" w:rsidRPr="00CC139D" w:rsidRDefault="00066111" w:rsidP="00CC139D">
      <w:pPr>
        <w:spacing w:after="120" w:line="240" w:lineRule="atLeast"/>
        <w:contextualSpacing/>
        <w:jc w:val="both"/>
        <w:rPr>
          <w:rFonts w:asciiTheme="minorHAnsi" w:hAnsiTheme="minorHAnsi" w:cstheme="minorHAnsi"/>
          <w:sz w:val="22"/>
          <w:szCs w:val="22"/>
        </w:rPr>
      </w:pPr>
      <w:r w:rsidRPr="00D05C76">
        <w:rPr>
          <w:rFonts w:asciiTheme="minorHAnsi" w:hAnsiTheme="minorHAnsi" w:cstheme="minorHAnsi"/>
          <w:sz w:val="22"/>
          <w:szCs w:val="22"/>
        </w:rPr>
        <w:t>İş bu teklif formu, teklif vermeye yetkili kişi tarafından imzalanacaktır. Ortak girişim olarak teklif verilmesi halinde, teklif mektubu bütün ortaklar veya yetki verdikleri kişiler tarafından imzalanacaktır.</w:t>
      </w:r>
    </w:p>
    <w:sectPr w:rsidR="00066111" w:rsidRPr="00CC13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066111"/>
    <w:rsid w:val="001F051A"/>
    <w:rsid w:val="00227546"/>
    <w:rsid w:val="00451F3B"/>
    <w:rsid w:val="0049344C"/>
    <w:rsid w:val="004C7014"/>
    <w:rsid w:val="0055478C"/>
    <w:rsid w:val="006218A7"/>
    <w:rsid w:val="00647677"/>
    <w:rsid w:val="007C2664"/>
    <w:rsid w:val="00A15671"/>
    <w:rsid w:val="00B72C48"/>
    <w:rsid w:val="00BF68F4"/>
    <w:rsid w:val="00CC139D"/>
    <w:rsid w:val="00CC33B8"/>
    <w:rsid w:val="00D05C76"/>
    <w:rsid w:val="00D31F36"/>
    <w:rsid w:val="00D449B7"/>
    <w:rsid w:val="00D5247D"/>
    <w:rsid w:val="00DA799F"/>
    <w:rsid w:val="00DC71BC"/>
    <w:rsid w:val="00E05AAC"/>
    <w:rsid w:val="00E1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6A7D"/>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 w:type="character" w:styleId="AklamaBavurusu">
    <w:name w:val="annotation reference"/>
    <w:basedOn w:val="VarsaylanParagrafYazTipi"/>
    <w:uiPriority w:val="99"/>
    <w:semiHidden/>
    <w:unhideWhenUsed/>
    <w:rsid w:val="00B72C48"/>
    <w:rPr>
      <w:sz w:val="16"/>
      <w:szCs w:val="16"/>
    </w:rPr>
  </w:style>
  <w:style w:type="paragraph" w:styleId="AklamaMetni">
    <w:name w:val="annotation text"/>
    <w:basedOn w:val="Normal"/>
    <w:link w:val="AklamaMetniChar"/>
    <w:uiPriority w:val="99"/>
    <w:semiHidden/>
    <w:unhideWhenUsed/>
    <w:rsid w:val="00B72C48"/>
    <w:rPr>
      <w:rFonts w:cs="Mangal"/>
      <w:sz w:val="20"/>
      <w:szCs w:val="18"/>
    </w:rPr>
  </w:style>
  <w:style w:type="character" w:customStyle="1" w:styleId="AklamaMetniChar">
    <w:name w:val="Açıklama Metni Char"/>
    <w:basedOn w:val="VarsaylanParagrafYazTipi"/>
    <w:link w:val="AklamaMetni"/>
    <w:uiPriority w:val="99"/>
    <w:semiHidden/>
    <w:rsid w:val="00B72C48"/>
    <w:rPr>
      <w:rFonts w:ascii="Times New Roman" w:eastAsia="SimSun" w:hAnsi="Times New Roman" w:cs="Mangal"/>
      <w:sz w:val="20"/>
      <w:szCs w:val="18"/>
      <w:lang w:eastAsia="hi-IN" w:bidi="hi-IN"/>
    </w:rPr>
  </w:style>
  <w:style w:type="paragraph" w:styleId="BalonMetni">
    <w:name w:val="Balloon Text"/>
    <w:basedOn w:val="Normal"/>
    <w:link w:val="BalonMetniChar"/>
    <w:uiPriority w:val="99"/>
    <w:semiHidden/>
    <w:unhideWhenUsed/>
    <w:rsid w:val="00B72C48"/>
    <w:rPr>
      <w:rFonts w:ascii="Segoe UI" w:hAnsi="Segoe UI" w:cs="Mangal"/>
      <w:sz w:val="18"/>
      <w:szCs w:val="16"/>
    </w:rPr>
  </w:style>
  <w:style w:type="character" w:customStyle="1" w:styleId="BalonMetniChar">
    <w:name w:val="Balon Metni Char"/>
    <w:basedOn w:val="VarsaylanParagrafYazTipi"/>
    <w:link w:val="BalonMetni"/>
    <w:uiPriority w:val="99"/>
    <w:semiHidden/>
    <w:rsid w:val="00B72C48"/>
    <w:rPr>
      <w:rFonts w:ascii="Segoe UI" w:eastAsia="SimSun" w:hAnsi="Segoe UI" w:cs="Mangal"/>
      <w:sz w:val="18"/>
      <w:szCs w:val="16"/>
      <w:lang w:eastAsia="hi-IN" w:bidi="hi-IN"/>
    </w:rPr>
  </w:style>
  <w:style w:type="paragraph" w:styleId="AklamaKonusu">
    <w:name w:val="annotation subject"/>
    <w:basedOn w:val="AklamaMetni"/>
    <w:next w:val="AklamaMetni"/>
    <w:link w:val="AklamaKonusuChar"/>
    <w:uiPriority w:val="99"/>
    <w:semiHidden/>
    <w:unhideWhenUsed/>
    <w:rsid w:val="00B72C48"/>
    <w:rPr>
      <w:b/>
      <w:bCs/>
    </w:rPr>
  </w:style>
  <w:style w:type="character" w:customStyle="1" w:styleId="AklamaKonusuChar">
    <w:name w:val="Açıklama Konusu Char"/>
    <w:basedOn w:val="AklamaMetniChar"/>
    <w:link w:val="AklamaKonusu"/>
    <w:uiPriority w:val="99"/>
    <w:semiHidden/>
    <w:rsid w:val="00B72C48"/>
    <w:rPr>
      <w:rFonts w:ascii="Times New Roman" w:eastAsia="SimSun" w:hAnsi="Times New Roman" w:cs="Mangal"/>
      <w:b/>
      <w:bCs/>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19</cp:revision>
  <dcterms:created xsi:type="dcterms:W3CDTF">2019-06-11T06:16:00Z</dcterms:created>
  <dcterms:modified xsi:type="dcterms:W3CDTF">2019-12-11T14:02:00Z</dcterms:modified>
</cp:coreProperties>
</file>